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A8" w:rsidRDefault="00187BA8" w:rsidP="00187BA8">
      <w:pPr>
        <w:spacing w:after="0" w:line="240" w:lineRule="auto"/>
        <w:rPr>
          <w:b/>
          <w:i/>
          <w:szCs w:val="24"/>
        </w:rPr>
      </w:pPr>
      <w:r w:rsidRPr="00187BA8">
        <w:rPr>
          <w:b/>
          <w:i/>
          <w:szCs w:val="24"/>
        </w:rPr>
        <w:t>Задание</w:t>
      </w:r>
      <w:r>
        <w:rPr>
          <w:b/>
          <w:i/>
          <w:szCs w:val="24"/>
        </w:rPr>
        <w:t xml:space="preserve"> </w:t>
      </w:r>
    </w:p>
    <w:p w:rsidR="00CB2670" w:rsidRPr="00C31F0C" w:rsidRDefault="00F31C84" w:rsidP="003E6ABD">
      <w:pPr>
        <w:spacing w:after="0" w:line="240" w:lineRule="auto"/>
        <w:rPr>
          <w:i/>
          <w:szCs w:val="24"/>
        </w:rPr>
      </w:pPr>
      <w:r>
        <w:rPr>
          <w:i/>
          <w:szCs w:val="24"/>
        </w:rPr>
        <w:t>Поиск</w:t>
      </w:r>
      <w:r w:rsidR="0032712F" w:rsidRPr="00CB2670">
        <w:rPr>
          <w:i/>
          <w:szCs w:val="24"/>
        </w:rPr>
        <w:t xml:space="preserve"> </w:t>
      </w:r>
      <w:r w:rsidR="00CB2670" w:rsidRPr="00CB2670">
        <w:rPr>
          <w:i/>
          <w:szCs w:val="24"/>
        </w:rPr>
        <w:t xml:space="preserve">информации, уровень </w:t>
      </w:r>
      <w:r w:rsidR="00CB2670" w:rsidRPr="00CB2670">
        <w:rPr>
          <w:i/>
          <w:szCs w:val="24"/>
          <w:lang w:val="en-US"/>
        </w:rPr>
        <w:t>I</w:t>
      </w:r>
      <w:r w:rsidRPr="00CB2670">
        <w:rPr>
          <w:i/>
          <w:szCs w:val="24"/>
          <w:lang w:val="en-US"/>
        </w:rPr>
        <w:t>I</w:t>
      </w:r>
      <w:r w:rsidR="00C31F0C">
        <w:rPr>
          <w:i/>
          <w:szCs w:val="24"/>
        </w:rPr>
        <w:t>.</w:t>
      </w:r>
    </w:p>
    <w:p w:rsidR="00C31F0C" w:rsidRDefault="00C31F0C" w:rsidP="003E6ABD">
      <w:pPr>
        <w:spacing w:after="0" w:line="240" w:lineRule="auto"/>
        <w:rPr>
          <w:i/>
          <w:szCs w:val="24"/>
        </w:rPr>
      </w:pPr>
      <w:r w:rsidRPr="00C31F0C">
        <w:rPr>
          <w:i/>
          <w:szCs w:val="24"/>
        </w:rPr>
        <w:t>Формирование информационного запроса на основе оценки полноты информации для реш</w:t>
      </w:r>
      <w:r w:rsidRPr="00C31F0C">
        <w:rPr>
          <w:i/>
          <w:szCs w:val="24"/>
        </w:rPr>
        <w:t>е</w:t>
      </w:r>
      <w:r w:rsidRPr="00C31F0C">
        <w:rPr>
          <w:i/>
          <w:szCs w:val="24"/>
        </w:rPr>
        <w:t>ния задачи.</w:t>
      </w:r>
    </w:p>
    <w:p w:rsidR="003E6ABD" w:rsidRDefault="003E6ABD" w:rsidP="003E6ABD">
      <w:pPr>
        <w:spacing w:after="0" w:line="240" w:lineRule="auto"/>
        <w:rPr>
          <w:i/>
          <w:szCs w:val="24"/>
        </w:rPr>
      </w:pPr>
    </w:p>
    <w:p w:rsidR="00454DEB" w:rsidRPr="006601B7" w:rsidRDefault="00454DEB" w:rsidP="00454DEB">
      <w:pPr>
        <w:spacing w:after="0"/>
        <w:ind w:firstLine="709"/>
        <w:jc w:val="both"/>
      </w:pPr>
      <w:r w:rsidRPr="00B0274D">
        <w:t>Прочитайте отрывок из текста, описывающий период становления музея професси</w:t>
      </w:r>
      <w:r w:rsidRPr="00B0274D">
        <w:t>о</w:t>
      </w:r>
      <w:r w:rsidRPr="006601B7">
        <w:t xml:space="preserve">нального образования. Рассмотрите 2 графика. </w:t>
      </w:r>
    </w:p>
    <w:p w:rsidR="00454DEB" w:rsidRDefault="00454DEB" w:rsidP="00454DEB">
      <w:pPr>
        <w:spacing w:after="0"/>
        <w:ind w:firstLine="709"/>
        <w:jc w:val="both"/>
        <w:rPr>
          <w:b/>
          <w:lang w:val="en-US"/>
        </w:rPr>
      </w:pPr>
      <w:r w:rsidRPr="00F67742">
        <w:rPr>
          <w:b/>
        </w:rPr>
        <w:t>Запишите, какой информации недостает в тексте, чтобы выбрать график, илл</w:t>
      </w:r>
      <w:r w:rsidRPr="00F67742">
        <w:rPr>
          <w:b/>
        </w:rPr>
        <w:t>ю</w:t>
      </w:r>
      <w:r w:rsidRPr="00F67742">
        <w:rPr>
          <w:b/>
        </w:rPr>
        <w:t>стрирующий этот текст.</w:t>
      </w:r>
    </w:p>
    <w:p w:rsidR="00E83110" w:rsidRPr="00E83110" w:rsidRDefault="00E83110" w:rsidP="00E83110">
      <w:pPr>
        <w:spacing w:after="0"/>
        <w:ind w:firstLine="709"/>
        <w:jc w:val="both"/>
      </w:pPr>
      <w:r>
        <w:t>На выполнение задания отводится 5 минут.</w:t>
      </w:r>
    </w:p>
    <w:p w:rsidR="00E83110" w:rsidRPr="00E83110" w:rsidRDefault="00E83110" w:rsidP="00454DEB">
      <w:pPr>
        <w:spacing w:after="0"/>
        <w:ind w:firstLine="709"/>
        <w:jc w:val="both"/>
        <w:rPr>
          <w:b/>
        </w:rPr>
      </w:pPr>
    </w:p>
    <w:p w:rsidR="00454DEB" w:rsidRDefault="00454DEB" w:rsidP="00454DEB">
      <w:pPr>
        <w:spacing w:after="0" w:line="360" w:lineRule="auto"/>
        <w:jc w:val="both"/>
      </w:pPr>
    </w:p>
    <w:p w:rsidR="00454DEB" w:rsidRPr="00B0274D" w:rsidRDefault="00454DEB" w:rsidP="00454DEB">
      <w:pPr>
        <w:spacing w:after="0" w:line="360" w:lineRule="auto"/>
        <w:jc w:val="both"/>
      </w:pPr>
      <w:r w:rsidRPr="00B0274D">
        <w:t>____________</w:t>
      </w:r>
      <w:r>
        <w:t>____</w:t>
      </w:r>
      <w:r w:rsidRPr="00B0274D">
        <w:t>________________________________________________________________</w:t>
      </w:r>
    </w:p>
    <w:p w:rsidR="00454DEB" w:rsidRPr="00B0274D" w:rsidRDefault="00454DEB" w:rsidP="00454DEB">
      <w:pPr>
        <w:spacing w:after="0" w:line="360" w:lineRule="auto"/>
        <w:jc w:val="both"/>
      </w:pPr>
      <w:r w:rsidRPr="00B0274D">
        <w:t>________________</w:t>
      </w:r>
      <w:r>
        <w:t>____</w:t>
      </w:r>
      <w:r w:rsidRPr="00B0274D">
        <w:t>____________________________________________________________</w:t>
      </w:r>
    </w:p>
    <w:p w:rsidR="00454DEB" w:rsidRDefault="002260F2" w:rsidP="00454DEB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________________________________________________________________________________</w:t>
      </w:r>
    </w:p>
    <w:p w:rsidR="00454DEB" w:rsidRDefault="00454DEB" w:rsidP="00454DEB">
      <w:pPr>
        <w:spacing w:after="0" w:line="240" w:lineRule="auto"/>
        <w:rPr>
          <w:b/>
          <w:i/>
          <w:szCs w:val="24"/>
        </w:rPr>
      </w:pPr>
    </w:p>
    <w:p w:rsidR="00454DEB" w:rsidRPr="00B0274D" w:rsidRDefault="00454DEB" w:rsidP="00454DEB">
      <w:pPr>
        <w:spacing w:after="0" w:line="240" w:lineRule="auto"/>
        <w:ind w:firstLine="709"/>
        <w:jc w:val="both"/>
      </w:pPr>
      <w:r w:rsidRPr="00B0274D">
        <w:t>Федеральный музей профессионального образования Федерального агентства по о</w:t>
      </w:r>
      <w:r w:rsidRPr="00B0274D">
        <w:t>б</w:t>
      </w:r>
      <w:r w:rsidRPr="00B0274D">
        <w:t>разованию Министерства образования и науки Российской Федерации расположен в здании, которое является памятником истории и культуры конца XVIII - начала XIX в. федерального общегосударственного значения (бывшая усадьба "Ивановское"), в городе Подольске Мо</w:t>
      </w:r>
      <w:r w:rsidRPr="00B0274D">
        <w:t>с</w:t>
      </w:r>
      <w:r w:rsidRPr="00B0274D">
        <w:t>ковской области. Он рассказывает об истории профессионального образования с XVIII</w:t>
      </w:r>
      <w:r w:rsidR="00C31F0C">
        <w:t xml:space="preserve"> по XXI век и насчитывает более</w:t>
      </w:r>
      <w:r w:rsidRPr="00B0274D">
        <w:t xml:space="preserve"> 40000 экспонатов. </w:t>
      </w:r>
    </w:p>
    <w:p w:rsidR="00454DEB" w:rsidRPr="00B0274D" w:rsidRDefault="00454DEB" w:rsidP="00454DEB">
      <w:pPr>
        <w:spacing w:after="0" w:line="240" w:lineRule="auto"/>
        <w:ind w:firstLine="709"/>
        <w:jc w:val="both"/>
      </w:pPr>
      <w:r w:rsidRPr="00B0274D">
        <w:t>Среднее количество посетителей музея за год с момента открытия в 1985 году было чуть меньше 700000 тысяч человек</w:t>
      </w:r>
      <w:r w:rsidRPr="00615C89">
        <w:t>. В последующие годы число посетителей немного увел</w:t>
      </w:r>
      <w:r w:rsidRPr="00615C89">
        <w:t>и</w:t>
      </w:r>
      <w:r w:rsidRPr="00615C89">
        <w:t>чивалось. А затем последовал перио</w:t>
      </w:r>
      <w:r w:rsidRPr="00B0274D">
        <w:t>д значительных колебаний численности. В течение всего 1989 года музей испытывал резкое сокращение количества посетителей, что явилось следс</w:t>
      </w:r>
      <w:r w:rsidRPr="00B0274D">
        <w:t>т</w:t>
      </w:r>
      <w:r w:rsidRPr="00B0274D">
        <w:t>вием введения добровольной платы за посещение. У</w:t>
      </w:r>
      <w:r w:rsidR="00C31F0C">
        <w:t>величение посещаемости, вначале</w:t>
      </w:r>
      <w:r w:rsidRPr="00B0274D">
        <w:t xml:space="preserve"> д</w:t>
      </w:r>
      <w:r w:rsidRPr="00B0274D">
        <w:t>о</w:t>
      </w:r>
      <w:r w:rsidRPr="00B0274D">
        <w:t>вольно быстрое, продлилось до начала 1993 года и достигло нового максимума в 750000 ч</w:t>
      </w:r>
      <w:r w:rsidRPr="00B0274D">
        <w:t>е</w:t>
      </w:r>
      <w:r w:rsidRPr="00B0274D">
        <w:t>ловек. Однако за первую половину 1993 года, после введения обязательной оплаты, пос</w:t>
      </w:r>
      <w:r w:rsidRPr="00B0274D">
        <w:t>е</w:t>
      </w:r>
      <w:r w:rsidRPr="00B0274D">
        <w:t>щаемость резко упала, достигнув минимума в 300000 человек. В течение следующего пол</w:t>
      </w:r>
      <w:r w:rsidRPr="00B0274D">
        <w:t>у</w:t>
      </w:r>
      <w:r w:rsidRPr="00B0274D">
        <w:t>года посещаемость росла и к началу 1994 достигла 350000 тысяч,  к середине  же 1994 - сн</w:t>
      </w:r>
      <w:r w:rsidRPr="00B0274D">
        <w:t>о</w:t>
      </w:r>
      <w:r w:rsidRPr="00B0274D">
        <w:t>ва резкое падение без видимых причин до 200000 посещений и двукратный рост к концу 1995 года. Тенденция роста посещений продолжалась и в последующие годы.</w:t>
      </w:r>
    </w:p>
    <w:p w:rsidR="00454DEB" w:rsidRPr="00B0274D" w:rsidRDefault="00454DEB" w:rsidP="00454DEB">
      <w:pPr>
        <w:spacing w:after="0"/>
        <w:jc w:val="both"/>
      </w:pPr>
    </w:p>
    <w:p w:rsidR="00454DEB" w:rsidRDefault="00454DEB" w:rsidP="00454DEB">
      <w:pPr>
        <w:spacing w:after="0"/>
        <w:jc w:val="right"/>
        <w:rPr>
          <w:i/>
        </w:rPr>
      </w:pPr>
      <w:r>
        <w:rPr>
          <w:i/>
        </w:rPr>
        <w:br w:type="page"/>
      </w:r>
    </w:p>
    <w:p w:rsidR="00454DEB" w:rsidRPr="00B0274D" w:rsidRDefault="00454DEB" w:rsidP="00454DEB">
      <w:pPr>
        <w:spacing w:after="0"/>
        <w:jc w:val="right"/>
        <w:rPr>
          <w:i/>
        </w:rPr>
      </w:pPr>
      <w:r w:rsidRPr="00B0274D">
        <w:rPr>
          <w:i/>
        </w:rPr>
        <w:lastRenderedPageBreak/>
        <w:t>График 1</w:t>
      </w:r>
    </w:p>
    <w:p w:rsidR="00454DEB" w:rsidRPr="00B0274D" w:rsidRDefault="00CD5227" w:rsidP="00454DEB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923926" cy="3531444"/>
            <wp:effectExtent l="5869" t="5867" r="4280" b="5989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4DEB" w:rsidRDefault="00454DEB" w:rsidP="00454DEB">
      <w:pPr>
        <w:spacing w:after="0"/>
        <w:jc w:val="right"/>
        <w:rPr>
          <w:i/>
        </w:rPr>
      </w:pPr>
    </w:p>
    <w:p w:rsidR="00454DEB" w:rsidRDefault="00454DEB" w:rsidP="00454DEB">
      <w:pPr>
        <w:spacing w:after="0"/>
        <w:jc w:val="right"/>
        <w:rPr>
          <w:i/>
        </w:rPr>
      </w:pPr>
    </w:p>
    <w:p w:rsidR="00454DEB" w:rsidRPr="00B0274D" w:rsidRDefault="00454DEB" w:rsidP="00454DEB">
      <w:pPr>
        <w:spacing w:after="0"/>
        <w:jc w:val="right"/>
        <w:rPr>
          <w:i/>
        </w:rPr>
      </w:pPr>
      <w:r w:rsidRPr="00B0274D">
        <w:rPr>
          <w:i/>
        </w:rPr>
        <w:t>График 2</w:t>
      </w:r>
    </w:p>
    <w:p w:rsidR="00454DEB" w:rsidRDefault="00CD5227" w:rsidP="00454DEB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923926" cy="3531444"/>
            <wp:effectExtent l="5869" t="5867" r="4280" b="5989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4DEB" w:rsidRDefault="00454DEB" w:rsidP="00454DEB">
      <w:pPr>
        <w:spacing w:after="0"/>
        <w:rPr>
          <w:rFonts w:eastAsia="Times New Roman"/>
          <w:b/>
          <w:i/>
          <w:iCs/>
          <w:szCs w:val="24"/>
          <w:lang w:eastAsia="ru-RU"/>
        </w:rPr>
      </w:pPr>
    </w:p>
    <w:p w:rsidR="005A4AD9" w:rsidRPr="005A4AD9" w:rsidRDefault="003E6ABD" w:rsidP="00814E31">
      <w:pPr>
        <w:spacing w:after="0" w:line="240" w:lineRule="auto"/>
        <w:outlineLvl w:val="0"/>
        <w:rPr>
          <w:b/>
          <w:i/>
          <w:sz w:val="20"/>
          <w:szCs w:val="20"/>
        </w:rPr>
      </w:pPr>
      <w:r>
        <w:rPr>
          <w:rFonts w:eastAsia="Times New Roman"/>
          <w:i/>
          <w:iCs/>
          <w:szCs w:val="24"/>
          <w:lang w:eastAsia="ru-RU"/>
        </w:rPr>
        <w:br w:type="page"/>
      </w:r>
      <w:r w:rsidR="0079451D">
        <w:rPr>
          <w:b/>
          <w:i/>
          <w:szCs w:val="24"/>
        </w:rPr>
        <w:lastRenderedPageBreak/>
        <w:t>Модельный ответ</w:t>
      </w:r>
      <w:r w:rsidR="005A4AD9">
        <w:rPr>
          <w:b/>
          <w:i/>
          <w:szCs w:val="24"/>
        </w:rPr>
        <w:t xml:space="preserve"> </w:t>
      </w:r>
    </w:p>
    <w:p w:rsidR="00814E31" w:rsidRDefault="00814E31" w:rsidP="00F21D45">
      <w:pPr>
        <w:spacing w:after="0" w:line="240" w:lineRule="auto"/>
        <w:rPr>
          <w:rFonts w:eastAsia="Times New Roman"/>
          <w:bCs/>
          <w:i/>
          <w:kern w:val="36"/>
          <w:szCs w:val="24"/>
          <w:lang w:eastAsia="ru-RU"/>
        </w:rPr>
      </w:pPr>
    </w:p>
    <w:p w:rsidR="00454DEB" w:rsidRDefault="00454DEB" w:rsidP="00454DEB">
      <w:pPr>
        <w:spacing w:after="0" w:line="240" w:lineRule="auto"/>
        <w:jc w:val="both"/>
        <w:rPr>
          <w:i/>
          <w:szCs w:val="24"/>
        </w:rPr>
      </w:pPr>
      <w:r w:rsidRPr="00454DEB">
        <w:rPr>
          <w:i/>
          <w:szCs w:val="24"/>
        </w:rPr>
        <w:t xml:space="preserve">Поиск информации, уровень </w:t>
      </w:r>
      <w:r w:rsidRPr="00454DEB">
        <w:rPr>
          <w:i/>
          <w:szCs w:val="24"/>
          <w:lang w:val="en-US"/>
        </w:rPr>
        <w:t>II</w:t>
      </w:r>
    </w:p>
    <w:p w:rsidR="00454DEB" w:rsidRPr="00454DEB" w:rsidRDefault="00454DEB" w:rsidP="00454DEB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0"/>
        <w:gridCol w:w="1524"/>
      </w:tblGrid>
      <w:tr w:rsidR="00454DEB" w:rsidRPr="00454DEB" w:rsidTr="006337C2">
        <w:tc>
          <w:tcPr>
            <w:tcW w:w="8330" w:type="dxa"/>
          </w:tcPr>
          <w:p w:rsidR="00454DEB" w:rsidRPr="00454DEB" w:rsidRDefault="00454DEB" w:rsidP="00454DEB">
            <w:pPr>
              <w:spacing w:after="0" w:line="240" w:lineRule="auto"/>
              <w:jc w:val="both"/>
            </w:pPr>
            <w:r w:rsidRPr="00454DEB">
              <w:t>Как именно происходил рост посещения после (</w:t>
            </w:r>
            <w:r w:rsidRPr="00454DEB">
              <w:rPr>
                <w:i/>
              </w:rPr>
              <w:t>начиная</w:t>
            </w:r>
            <w:r>
              <w:rPr>
                <w:i/>
              </w:rPr>
              <w:t>)</w:t>
            </w:r>
            <w:r w:rsidRPr="00454DEB">
              <w:rPr>
                <w:i/>
              </w:rPr>
              <w:t xml:space="preserve"> </w:t>
            </w:r>
            <w:r w:rsidRPr="00454DEB">
              <w:t xml:space="preserve">с 1996 г. </w:t>
            </w:r>
            <w:r>
              <w:t xml:space="preserve">\ </w:t>
            </w:r>
            <w:r>
              <w:rPr>
                <w:i/>
              </w:rPr>
              <w:t xml:space="preserve">(Каков) </w:t>
            </w:r>
            <w:r>
              <w:t xml:space="preserve">характер увеличения посещаемости </w:t>
            </w:r>
            <w:r w:rsidRPr="00454DEB">
              <w:t>(</w:t>
            </w:r>
            <w:r w:rsidRPr="00454DEB">
              <w:rPr>
                <w:i/>
              </w:rPr>
              <w:t>начиная</w:t>
            </w:r>
            <w:r>
              <w:rPr>
                <w:i/>
              </w:rPr>
              <w:t>)</w:t>
            </w:r>
            <w:r w:rsidRPr="00454DEB">
              <w:rPr>
                <w:i/>
              </w:rPr>
              <w:t xml:space="preserve"> </w:t>
            </w:r>
            <w:r w:rsidRPr="00454DEB">
              <w:t>с 1996 г.</w:t>
            </w:r>
            <w:r>
              <w:t xml:space="preserve"> \ Было ли увеличение посещаемости после 1996 г. равномерным (</w:t>
            </w:r>
            <w:r w:rsidRPr="00454DEB">
              <w:rPr>
                <w:i/>
              </w:rPr>
              <w:t>неравномерным</w:t>
            </w:r>
            <w:r>
              <w:t xml:space="preserve">) \ </w:t>
            </w:r>
            <w:r w:rsidRPr="00454DEB">
              <w:rPr>
                <w:i/>
              </w:rPr>
              <w:t>постоянным</w:t>
            </w:r>
          </w:p>
        </w:tc>
        <w:tc>
          <w:tcPr>
            <w:tcW w:w="1524" w:type="dxa"/>
          </w:tcPr>
          <w:p w:rsidR="00454DEB" w:rsidRPr="00454DEB" w:rsidRDefault="00E83110" w:rsidP="00E83110">
            <w:pPr>
              <w:spacing w:after="0" w:line="240" w:lineRule="auto"/>
              <w:jc w:val="both"/>
            </w:pPr>
            <w:r>
              <w:rPr>
                <w:szCs w:val="24"/>
              </w:rPr>
              <w:t>2</w:t>
            </w:r>
            <w:r w:rsidR="00454DEB" w:rsidRPr="00454DEB">
              <w:rPr>
                <w:szCs w:val="24"/>
              </w:rPr>
              <w:t xml:space="preserve"> балл</w:t>
            </w:r>
            <w:r>
              <w:rPr>
                <w:szCs w:val="24"/>
              </w:rPr>
              <w:t>а</w:t>
            </w:r>
          </w:p>
        </w:tc>
      </w:tr>
      <w:tr w:rsidR="00454DEB" w:rsidRPr="00454DEB" w:rsidTr="006337C2">
        <w:tc>
          <w:tcPr>
            <w:tcW w:w="8330" w:type="dxa"/>
          </w:tcPr>
          <w:p w:rsidR="00454DEB" w:rsidRPr="00454DEB" w:rsidRDefault="00454DEB" w:rsidP="00454DEB">
            <w:pPr>
              <w:spacing w:after="0" w:line="240" w:lineRule="auto"/>
              <w:ind w:left="851"/>
              <w:jc w:val="both"/>
              <w:rPr>
                <w:i/>
              </w:rPr>
            </w:pPr>
            <w:r>
              <w:rPr>
                <w:i/>
              </w:rPr>
              <w:t>Каково было количество посетителей по полугодиям (по годам), н</w:t>
            </w:r>
            <w:r>
              <w:rPr>
                <w:i/>
              </w:rPr>
              <w:t>а</w:t>
            </w:r>
            <w:r>
              <w:rPr>
                <w:i/>
              </w:rPr>
              <w:t>чиная с 1996 года</w:t>
            </w:r>
          </w:p>
        </w:tc>
        <w:tc>
          <w:tcPr>
            <w:tcW w:w="1524" w:type="dxa"/>
          </w:tcPr>
          <w:p w:rsidR="00454DEB" w:rsidRPr="00454DEB" w:rsidRDefault="00E83110" w:rsidP="00454DEB">
            <w:pPr>
              <w:spacing w:after="0" w:line="240" w:lineRule="auto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  <w:r w:rsidR="00454DEB">
              <w:rPr>
                <w:i/>
                <w:szCs w:val="24"/>
              </w:rPr>
              <w:t xml:space="preserve"> балл</w:t>
            </w:r>
          </w:p>
        </w:tc>
      </w:tr>
      <w:tr w:rsidR="00E83110" w:rsidRPr="00454DEB" w:rsidTr="006337C2">
        <w:tc>
          <w:tcPr>
            <w:tcW w:w="8330" w:type="dxa"/>
          </w:tcPr>
          <w:p w:rsidR="00E83110" w:rsidRPr="00E83110" w:rsidRDefault="00E83110" w:rsidP="00E83110">
            <w:pPr>
              <w:spacing w:after="0" w:line="240" w:lineRule="auto"/>
              <w:jc w:val="both"/>
            </w:pPr>
            <w:r>
              <w:t>Соблюдена норма времени (при наличии верного ответа)</w:t>
            </w:r>
          </w:p>
        </w:tc>
        <w:tc>
          <w:tcPr>
            <w:tcW w:w="1524" w:type="dxa"/>
          </w:tcPr>
          <w:p w:rsidR="00E83110" w:rsidRPr="00454DEB" w:rsidRDefault="00E83110" w:rsidP="00A668FB">
            <w:pPr>
              <w:spacing w:after="0" w:line="240" w:lineRule="auto"/>
              <w:jc w:val="both"/>
            </w:pPr>
            <w:r>
              <w:rPr>
                <w:szCs w:val="24"/>
              </w:rPr>
              <w:t>1</w:t>
            </w:r>
            <w:r w:rsidRPr="00454DEB">
              <w:rPr>
                <w:szCs w:val="24"/>
              </w:rPr>
              <w:t xml:space="preserve"> балл</w:t>
            </w:r>
          </w:p>
        </w:tc>
      </w:tr>
      <w:tr w:rsidR="00E83110" w:rsidRPr="00454DEB" w:rsidTr="006337C2">
        <w:tc>
          <w:tcPr>
            <w:tcW w:w="8330" w:type="dxa"/>
          </w:tcPr>
          <w:p w:rsidR="00E83110" w:rsidRPr="00454DEB" w:rsidRDefault="00E83110" w:rsidP="00454DEB">
            <w:pPr>
              <w:spacing w:after="0" w:line="240" w:lineRule="auto"/>
              <w:jc w:val="both"/>
            </w:pPr>
            <w:r w:rsidRPr="00454DEB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524" w:type="dxa"/>
          </w:tcPr>
          <w:p w:rsidR="00E83110" w:rsidRPr="00454DEB" w:rsidRDefault="00E83110" w:rsidP="00E83110">
            <w:pPr>
              <w:spacing w:after="0" w:line="240" w:lineRule="auto"/>
              <w:jc w:val="both"/>
            </w:pPr>
            <w:r>
              <w:rPr>
                <w:b/>
                <w:i/>
                <w:szCs w:val="24"/>
              </w:rPr>
              <w:t>3</w:t>
            </w:r>
            <w:r w:rsidRPr="00454DEB">
              <w:rPr>
                <w:b/>
                <w:i/>
                <w:szCs w:val="24"/>
              </w:rPr>
              <w:t xml:space="preserve"> балл</w:t>
            </w:r>
            <w:r>
              <w:rPr>
                <w:b/>
                <w:i/>
                <w:szCs w:val="24"/>
              </w:rPr>
              <w:t>а</w:t>
            </w:r>
          </w:p>
        </w:tc>
      </w:tr>
    </w:tbl>
    <w:p w:rsidR="00454DEB" w:rsidRPr="00454DEB" w:rsidRDefault="00454DEB" w:rsidP="00454DEB">
      <w:pPr>
        <w:spacing w:after="0" w:line="240" w:lineRule="auto"/>
        <w:jc w:val="both"/>
      </w:pPr>
    </w:p>
    <w:p w:rsidR="00E83110" w:rsidRPr="00CD256A" w:rsidRDefault="00E83110" w:rsidP="00E83110">
      <w:pPr>
        <w:spacing w:after="0" w:line="240" w:lineRule="auto"/>
        <w:jc w:val="both"/>
        <w:rPr>
          <w:rFonts w:eastAsia="Times New Roman"/>
          <w:sz w:val="22"/>
          <w:szCs w:val="24"/>
          <w:lang w:val="en-US" w:eastAsia="ru-RU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E83110" w:rsidRPr="00CD256A" w:rsidTr="00B82ACC">
        <w:tc>
          <w:tcPr>
            <w:tcW w:w="2093" w:type="dxa"/>
          </w:tcPr>
          <w:p w:rsidR="00E83110" w:rsidRPr="008007C0" w:rsidRDefault="00E83110" w:rsidP="00B82AC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en-US"/>
              </w:rPr>
              <w:t>2-3</w:t>
            </w:r>
            <w:r w:rsidRPr="00CD256A">
              <w:rPr>
                <w:szCs w:val="24"/>
              </w:rPr>
              <w:t xml:space="preserve"> балл</w:t>
            </w:r>
            <w:r>
              <w:rPr>
                <w:szCs w:val="24"/>
              </w:rPr>
              <w:t>а</w:t>
            </w:r>
          </w:p>
        </w:tc>
        <w:tc>
          <w:tcPr>
            <w:tcW w:w="7761" w:type="dxa"/>
          </w:tcPr>
          <w:p w:rsidR="00E83110" w:rsidRPr="00CD256A" w:rsidRDefault="00E83110" w:rsidP="00B82ACC">
            <w:pPr>
              <w:spacing w:after="0" w:line="240" w:lineRule="auto"/>
              <w:rPr>
                <w:szCs w:val="24"/>
              </w:rPr>
            </w:pPr>
            <w:r w:rsidRPr="00CD256A">
              <w:rPr>
                <w:szCs w:val="24"/>
              </w:rPr>
              <w:t>обучающийся продемонстрировал деятельность в соответствии с треб</w:t>
            </w:r>
            <w:r w:rsidRPr="00CD256A">
              <w:rPr>
                <w:szCs w:val="24"/>
              </w:rPr>
              <w:t>о</w:t>
            </w:r>
            <w:r w:rsidRPr="00CD256A">
              <w:rPr>
                <w:szCs w:val="24"/>
              </w:rPr>
              <w:t xml:space="preserve">ваниями уровня </w:t>
            </w:r>
            <w:r w:rsidRPr="00CD256A">
              <w:rPr>
                <w:szCs w:val="24"/>
                <w:lang w:val="en-US"/>
              </w:rPr>
              <w:t>II</w:t>
            </w:r>
          </w:p>
        </w:tc>
      </w:tr>
      <w:tr w:rsidR="00E83110" w:rsidRPr="000E1E3C" w:rsidTr="00B82ACC">
        <w:tc>
          <w:tcPr>
            <w:tcW w:w="2093" w:type="dxa"/>
          </w:tcPr>
          <w:p w:rsidR="00E83110" w:rsidRPr="000E1E3C" w:rsidRDefault="00E83110" w:rsidP="00B82ACC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0E1E3C">
              <w:rPr>
                <w:szCs w:val="24"/>
              </w:rPr>
              <w:t xml:space="preserve"> балл</w:t>
            </w:r>
          </w:p>
        </w:tc>
        <w:tc>
          <w:tcPr>
            <w:tcW w:w="7761" w:type="dxa"/>
          </w:tcPr>
          <w:p w:rsidR="00E83110" w:rsidRPr="000E1E3C" w:rsidRDefault="00E83110" w:rsidP="00B82ACC">
            <w:pPr>
              <w:spacing w:line="240" w:lineRule="auto"/>
              <w:rPr>
                <w:szCs w:val="24"/>
              </w:rPr>
            </w:pPr>
            <w:r w:rsidRPr="000E1E3C">
              <w:rPr>
                <w:szCs w:val="24"/>
              </w:rPr>
              <w:t xml:space="preserve">обучающийся продемонстрировал выполнение отдельных операций в соответствии с требованиями уровня </w:t>
            </w:r>
            <w:r w:rsidRPr="000E1E3C">
              <w:rPr>
                <w:szCs w:val="24"/>
                <w:lang w:val="en-US"/>
              </w:rPr>
              <w:t>II</w:t>
            </w:r>
          </w:p>
        </w:tc>
      </w:tr>
      <w:tr w:rsidR="00E83110" w:rsidRPr="00CD256A" w:rsidTr="00B82ACC">
        <w:tc>
          <w:tcPr>
            <w:tcW w:w="2093" w:type="dxa"/>
          </w:tcPr>
          <w:p w:rsidR="00E83110" w:rsidRPr="00CD256A" w:rsidRDefault="00E83110" w:rsidP="00E83110">
            <w:pPr>
              <w:spacing w:after="0" w:line="240" w:lineRule="auto"/>
              <w:rPr>
                <w:szCs w:val="24"/>
                <w:lang w:val="en-US"/>
              </w:rPr>
            </w:pPr>
            <w:r w:rsidRPr="00CD256A">
              <w:rPr>
                <w:szCs w:val="24"/>
              </w:rPr>
              <w:t>0 балл</w:t>
            </w:r>
            <w:r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E83110" w:rsidRPr="00CD256A" w:rsidRDefault="00E83110" w:rsidP="00B82ACC">
            <w:pPr>
              <w:spacing w:after="0" w:line="240" w:lineRule="auto"/>
              <w:rPr>
                <w:szCs w:val="24"/>
              </w:rPr>
            </w:pPr>
            <w:r w:rsidRPr="00CD256A">
              <w:rPr>
                <w:szCs w:val="24"/>
              </w:rPr>
              <w:t>обучающийся не продемонстрировал деятельность в соответствии с тр</w:t>
            </w:r>
            <w:r w:rsidRPr="00CD256A">
              <w:rPr>
                <w:szCs w:val="24"/>
              </w:rPr>
              <w:t>е</w:t>
            </w:r>
            <w:r w:rsidRPr="00CD256A">
              <w:rPr>
                <w:szCs w:val="24"/>
              </w:rPr>
              <w:t xml:space="preserve">бованиями уровня </w:t>
            </w:r>
            <w:r w:rsidRPr="00CD256A">
              <w:rPr>
                <w:szCs w:val="24"/>
                <w:lang w:val="en-US"/>
              </w:rPr>
              <w:t>II</w:t>
            </w:r>
          </w:p>
        </w:tc>
      </w:tr>
    </w:tbl>
    <w:p w:rsidR="00E83110" w:rsidRDefault="00E83110" w:rsidP="00E83110"/>
    <w:p w:rsidR="005A4AD9" w:rsidRPr="004B1EAB" w:rsidRDefault="005A4AD9" w:rsidP="00E83110">
      <w:pPr>
        <w:spacing w:after="0" w:line="240" w:lineRule="auto"/>
        <w:rPr>
          <w:b/>
          <w:sz w:val="20"/>
          <w:szCs w:val="20"/>
        </w:rPr>
      </w:pPr>
    </w:p>
    <w:sectPr w:rsidR="005A4AD9" w:rsidRPr="004B1EAB" w:rsidSect="00E819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30" w:rsidRDefault="004C7B30" w:rsidP="00817C10">
      <w:pPr>
        <w:spacing w:after="0" w:line="240" w:lineRule="auto"/>
      </w:pPr>
      <w:r>
        <w:separator/>
      </w:r>
    </w:p>
  </w:endnote>
  <w:endnote w:type="continuationSeparator" w:id="1">
    <w:p w:rsidR="004C7B30" w:rsidRDefault="004C7B30" w:rsidP="0081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30" w:rsidRDefault="004C7B30" w:rsidP="00817C10">
      <w:pPr>
        <w:spacing w:after="0" w:line="240" w:lineRule="auto"/>
      </w:pPr>
      <w:r>
        <w:separator/>
      </w:r>
    </w:p>
  </w:footnote>
  <w:footnote w:type="continuationSeparator" w:id="1">
    <w:p w:rsidR="004C7B30" w:rsidRDefault="004C7B30" w:rsidP="0081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070"/>
    <w:multiLevelType w:val="multilevel"/>
    <w:tmpl w:val="42725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5B0F79"/>
    <w:multiLevelType w:val="hybridMultilevel"/>
    <w:tmpl w:val="9A96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87F72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91407"/>
    <w:multiLevelType w:val="hybridMultilevel"/>
    <w:tmpl w:val="456C8BB4"/>
    <w:lvl w:ilvl="0" w:tplc="8C088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841196"/>
    <w:multiLevelType w:val="hybridMultilevel"/>
    <w:tmpl w:val="B6C0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B20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12D0"/>
    <w:rsid w:val="0006160B"/>
    <w:rsid w:val="00062EB1"/>
    <w:rsid w:val="00063319"/>
    <w:rsid w:val="0006547A"/>
    <w:rsid w:val="00066CE2"/>
    <w:rsid w:val="0006760D"/>
    <w:rsid w:val="00067653"/>
    <w:rsid w:val="0007055E"/>
    <w:rsid w:val="0007149A"/>
    <w:rsid w:val="00074D0F"/>
    <w:rsid w:val="00077FA9"/>
    <w:rsid w:val="0008100F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150B"/>
    <w:rsid w:val="000B4894"/>
    <w:rsid w:val="000B521E"/>
    <w:rsid w:val="000C0FAC"/>
    <w:rsid w:val="000C5DBC"/>
    <w:rsid w:val="000C5ED9"/>
    <w:rsid w:val="000C66E1"/>
    <w:rsid w:val="000C735D"/>
    <w:rsid w:val="000C7920"/>
    <w:rsid w:val="000D35C2"/>
    <w:rsid w:val="000D3717"/>
    <w:rsid w:val="000E0521"/>
    <w:rsid w:val="000E087A"/>
    <w:rsid w:val="000E28B0"/>
    <w:rsid w:val="000E2E67"/>
    <w:rsid w:val="000F5826"/>
    <w:rsid w:val="001018D7"/>
    <w:rsid w:val="001040E8"/>
    <w:rsid w:val="00104EFC"/>
    <w:rsid w:val="00106100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64F0"/>
    <w:rsid w:val="00137EAB"/>
    <w:rsid w:val="00142025"/>
    <w:rsid w:val="001438D0"/>
    <w:rsid w:val="00147867"/>
    <w:rsid w:val="00151FD2"/>
    <w:rsid w:val="00153287"/>
    <w:rsid w:val="00155BF0"/>
    <w:rsid w:val="00164631"/>
    <w:rsid w:val="0016776E"/>
    <w:rsid w:val="00182287"/>
    <w:rsid w:val="0018303E"/>
    <w:rsid w:val="001844B9"/>
    <w:rsid w:val="00187BA8"/>
    <w:rsid w:val="00191272"/>
    <w:rsid w:val="0019701A"/>
    <w:rsid w:val="001A0543"/>
    <w:rsid w:val="001A4C23"/>
    <w:rsid w:val="001A7024"/>
    <w:rsid w:val="001B1268"/>
    <w:rsid w:val="001C0832"/>
    <w:rsid w:val="001C3340"/>
    <w:rsid w:val="001C52F2"/>
    <w:rsid w:val="001D0131"/>
    <w:rsid w:val="001D0D33"/>
    <w:rsid w:val="001D0EAE"/>
    <w:rsid w:val="001D1779"/>
    <w:rsid w:val="001D5247"/>
    <w:rsid w:val="001D5DAC"/>
    <w:rsid w:val="001D64E4"/>
    <w:rsid w:val="001E24E5"/>
    <w:rsid w:val="001E2C96"/>
    <w:rsid w:val="001E4742"/>
    <w:rsid w:val="001E606A"/>
    <w:rsid w:val="001F76EE"/>
    <w:rsid w:val="00202A93"/>
    <w:rsid w:val="00204DBF"/>
    <w:rsid w:val="0020699B"/>
    <w:rsid w:val="00207CA5"/>
    <w:rsid w:val="002126D6"/>
    <w:rsid w:val="002131C3"/>
    <w:rsid w:val="00213F8A"/>
    <w:rsid w:val="002260F2"/>
    <w:rsid w:val="00233D49"/>
    <w:rsid w:val="002348EA"/>
    <w:rsid w:val="00235144"/>
    <w:rsid w:val="00240EFF"/>
    <w:rsid w:val="00242033"/>
    <w:rsid w:val="00242EA0"/>
    <w:rsid w:val="002468A4"/>
    <w:rsid w:val="00251235"/>
    <w:rsid w:val="002515E0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2173"/>
    <w:rsid w:val="002A41D1"/>
    <w:rsid w:val="002A78D3"/>
    <w:rsid w:val="002B0EA5"/>
    <w:rsid w:val="002B3540"/>
    <w:rsid w:val="002B3702"/>
    <w:rsid w:val="002B5879"/>
    <w:rsid w:val="002C009B"/>
    <w:rsid w:val="002C00EA"/>
    <w:rsid w:val="002C5272"/>
    <w:rsid w:val="002D776F"/>
    <w:rsid w:val="002D7821"/>
    <w:rsid w:val="002D7DAE"/>
    <w:rsid w:val="002E3619"/>
    <w:rsid w:val="002E3B19"/>
    <w:rsid w:val="002E4F57"/>
    <w:rsid w:val="002E6ED9"/>
    <w:rsid w:val="002E7E49"/>
    <w:rsid w:val="002E7F57"/>
    <w:rsid w:val="002F1EC9"/>
    <w:rsid w:val="002F4CDB"/>
    <w:rsid w:val="002F711D"/>
    <w:rsid w:val="0030012B"/>
    <w:rsid w:val="00303A9C"/>
    <w:rsid w:val="00305482"/>
    <w:rsid w:val="003101CC"/>
    <w:rsid w:val="00311560"/>
    <w:rsid w:val="003256F2"/>
    <w:rsid w:val="00325749"/>
    <w:rsid w:val="0032712F"/>
    <w:rsid w:val="0033131D"/>
    <w:rsid w:val="003323FD"/>
    <w:rsid w:val="00332994"/>
    <w:rsid w:val="00333F4F"/>
    <w:rsid w:val="003357B6"/>
    <w:rsid w:val="003403CF"/>
    <w:rsid w:val="00345864"/>
    <w:rsid w:val="00345C05"/>
    <w:rsid w:val="0035467B"/>
    <w:rsid w:val="0035569D"/>
    <w:rsid w:val="003564EC"/>
    <w:rsid w:val="00360C6F"/>
    <w:rsid w:val="0036110F"/>
    <w:rsid w:val="003646DA"/>
    <w:rsid w:val="00364CCA"/>
    <w:rsid w:val="00366A6C"/>
    <w:rsid w:val="00367E53"/>
    <w:rsid w:val="00370E0B"/>
    <w:rsid w:val="00371D9C"/>
    <w:rsid w:val="00374FCD"/>
    <w:rsid w:val="00375254"/>
    <w:rsid w:val="003772CE"/>
    <w:rsid w:val="003773D7"/>
    <w:rsid w:val="0037764C"/>
    <w:rsid w:val="00377D93"/>
    <w:rsid w:val="00377E60"/>
    <w:rsid w:val="003815B3"/>
    <w:rsid w:val="00387AB1"/>
    <w:rsid w:val="003905BE"/>
    <w:rsid w:val="00391DAD"/>
    <w:rsid w:val="003929F1"/>
    <w:rsid w:val="00392E0E"/>
    <w:rsid w:val="003952DA"/>
    <w:rsid w:val="003A098B"/>
    <w:rsid w:val="003A4193"/>
    <w:rsid w:val="003A50E9"/>
    <w:rsid w:val="003A5B8C"/>
    <w:rsid w:val="003A6B91"/>
    <w:rsid w:val="003A7E0E"/>
    <w:rsid w:val="003B328C"/>
    <w:rsid w:val="003B43DB"/>
    <w:rsid w:val="003B5C62"/>
    <w:rsid w:val="003C22C1"/>
    <w:rsid w:val="003C6780"/>
    <w:rsid w:val="003D1AE7"/>
    <w:rsid w:val="003D1E77"/>
    <w:rsid w:val="003D5213"/>
    <w:rsid w:val="003D5A19"/>
    <w:rsid w:val="003D6315"/>
    <w:rsid w:val="003D6ADF"/>
    <w:rsid w:val="003E0B9A"/>
    <w:rsid w:val="003E5E6C"/>
    <w:rsid w:val="003E6ABD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4691"/>
    <w:rsid w:val="00426333"/>
    <w:rsid w:val="004266A9"/>
    <w:rsid w:val="00430ACD"/>
    <w:rsid w:val="00435AEE"/>
    <w:rsid w:val="004366D3"/>
    <w:rsid w:val="00440A5D"/>
    <w:rsid w:val="004434EE"/>
    <w:rsid w:val="00445408"/>
    <w:rsid w:val="004463C5"/>
    <w:rsid w:val="0045240C"/>
    <w:rsid w:val="00453B77"/>
    <w:rsid w:val="00453F92"/>
    <w:rsid w:val="004546C9"/>
    <w:rsid w:val="00454DEB"/>
    <w:rsid w:val="0045563C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EB0"/>
    <w:rsid w:val="00470BC2"/>
    <w:rsid w:val="004721C2"/>
    <w:rsid w:val="004725D7"/>
    <w:rsid w:val="004738C1"/>
    <w:rsid w:val="004750E8"/>
    <w:rsid w:val="00475FDF"/>
    <w:rsid w:val="004769DA"/>
    <w:rsid w:val="00482378"/>
    <w:rsid w:val="004826DF"/>
    <w:rsid w:val="0048342F"/>
    <w:rsid w:val="00483A62"/>
    <w:rsid w:val="00485C77"/>
    <w:rsid w:val="00487F01"/>
    <w:rsid w:val="00493EA8"/>
    <w:rsid w:val="00495A90"/>
    <w:rsid w:val="00495BC7"/>
    <w:rsid w:val="004A00FE"/>
    <w:rsid w:val="004A08C2"/>
    <w:rsid w:val="004A3383"/>
    <w:rsid w:val="004A5A68"/>
    <w:rsid w:val="004B12D8"/>
    <w:rsid w:val="004B1EAB"/>
    <w:rsid w:val="004B1F52"/>
    <w:rsid w:val="004B2A07"/>
    <w:rsid w:val="004B4C13"/>
    <w:rsid w:val="004B567D"/>
    <w:rsid w:val="004B6A33"/>
    <w:rsid w:val="004B7200"/>
    <w:rsid w:val="004C1DC4"/>
    <w:rsid w:val="004C2044"/>
    <w:rsid w:val="004C344E"/>
    <w:rsid w:val="004C4952"/>
    <w:rsid w:val="004C4A7C"/>
    <w:rsid w:val="004C4D94"/>
    <w:rsid w:val="004C7B30"/>
    <w:rsid w:val="004D1A10"/>
    <w:rsid w:val="004D2740"/>
    <w:rsid w:val="004D3E0D"/>
    <w:rsid w:val="004D58DC"/>
    <w:rsid w:val="004D6AD7"/>
    <w:rsid w:val="004D73E2"/>
    <w:rsid w:val="004D7B22"/>
    <w:rsid w:val="004D7B72"/>
    <w:rsid w:val="004E1669"/>
    <w:rsid w:val="004E2051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66A2"/>
    <w:rsid w:val="005327D2"/>
    <w:rsid w:val="0053348E"/>
    <w:rsid w:val="005351D6"/>
    <w:rsid w:val="005409AE"/>
    <w:rsid w:val="00544771"/>
    <w:rsid w:val="00546915"/>
    <w:rsid w:val="005515FF"/>
    <w:rsid w:val="00552982"/>
    <w:rsid w:val="00552AAE"/>
    <w:rsid w:val="00555416"/>
    <w:rsid w:val="005603E9"/>
    <w:rsid w:val="00561376"/>
    <w:rsid w:val="00563C39"/>
    <w:rsid w:val="00565B73"/>
    <w:rsid w:val="00566AA0"/>
    <w:rsid w:val="00572DAD"/>
    <w:rsid w:val="00576D07"/>
    <w:rsid w:val="00577A27"/>
    <w:rsid w:val="00585401"/>
    <w:rsid w:val="00585B0B"/>
    <w:rsid w:val="00591465"/>
    <w:rsid w:val="00591BCD"/>
    <w:rsid w:val="00592F48"/>
    <w:rsid w:val="00594CDD"/>
    <w:rsid w:val="00595A52"/>
    <w:rsid w:val="005A01B8"/>
    <w:rsid w:val="005A0E1F"/>
    <w:rsid w:val="005A4107"/>
    <w:rsid w:val="005A4AD9"/>
    <w:rsid w:val="005B1051"/>
    <w:rsid w:val="005B1E73"/>
    <w:rsid w:val="005B49C7"/>
    <w:rsid w:val="005B4D24"/>
    <w:rsid w:val="005C05BF"/>
    <w:rsid w:val="005C074C"/>
    <w:rsid w:val="005C25B4"/>
    <w:rsid w:val="005C3E8F"/>
    <w:rsid w:val="005C40E6"/>
    <w:rsid w:val="005C4104"/>
    <w:rsid w:val="005C440A"/>
    <w:rsid w:val="005C50C1"/>
    <w:rsid w:val="005C7725"/>
    <w:rsid w:val="005C7826"/>
    <w:rsid w:val="005D1283"/>
    <w:rsid w:val="005D3DB0"/>
    <w:rsid w:val="005E19AA"/>
    <w:rsid w:val="005E6278"/>
    <w:rsid w:val="005F06B8"/>
    <w:rsid w:val="005F4D56"/>
    <w:rsid w:val="0060486B"/>
    <w:rsid w:val="00604B0B"/>
    <w:rsid w:val="00604F3D"/>
    <w:rsid w:val="00610DC4"/>
    <w:rsid w:val="00610ED8"/>
    <w:rsid w:val="00611410"/>
    <w:rsid w:val="00612727"/>
    <w:rsid w:val="00613540"/>
    <w:rsid w:val="00615A2A"/>
    <w:rsid w:val="00615C89"/>
    <w:rsid w:val="00617D39"/>
    <w:rsid w:val="0062028D"/>
    <w:rsid w:val="006205CC"/>
    <w:rsid w:val="006213E1"/>
    <w:rsid w:val="0062456C"/>
    <w:rsid w:val="006337C2"/>
    <w:rsid w:val="0063450F"/>
    <w:rsid w:val="00635EE8"/>
    <w:rsid w:val="0064330D"/>
    <w:rsid w:val="00646A97"/>
    <w:rsid w:val="006471E8"/>
    <w:rsid w:val="00650399"/>
    <w:rsid w:val="006550AC"/>
    <w:rsid w:val="00657518"/>
    <w:rsid w:val="00660AD8"/>
    <w:rsid w:val="00662B93"/>
    <w:rsid w:val="0066562F"/>
    <w:rsid w:val="00672B6C"/>
    <w:rsid w:val="00676359"/>
    <w:rsid w:val="00676ABA"/>
    <w:rsid w:val="006808AF"/>
    <w:rsid w:val="00681CC8"/>
    <w:rsid w:val="00685C21"/>
    <w:rsid w:val="006878B3"/>
    <w:rsid w:val="006916F1"/>
    <w:rsid w:val="006A0920"/>
    <w:rsid w:val="006A0A6D"/>
    <w:rsid w:val="006A175E"/>
    <w:rsid w:val="006A3561"/>
    <w:rsid w:val="006A689B"/>
    <w:rsid w:val="006A6AA2"/>
    <w:rsid w:val="006A79E7"/>
    <w:rsid w:val="006B0ABE"/>
    <w:rsid w:val="006B187F"/>
    <w:rsid w:val="006B2959"/>
    <w:rsid w:val="006B4700"/>
    <w:rsid w:val="006B63A2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41DC"/>
    <w:rsid w:val="006D6C70"/>
    <w:rsid w:val="006E1FDB"/>
    <w:rsid w:val="006E2B40"/>
    <w:rsid w:val="006E35FA"/>
    <w:rsid w:val="006E398E"/>
    <w:rsid w:val="006E3C56"/>
    <w:rsid w:val="006E4CE9"/>
    <w:rsid w:val="006E54AB"/>
    <w:rsid w:val="006E7ACA"/>
    <w:rsid w:val="006F061A"/>
    <w:rsid w:val="006F0F33"/>
    <w:rsid w:val="006F608B"/>
    <w:rsid w:val="006F7F77"/>
    <w:rsid w:val="00700444"/>
    <w:rsid w:val="00704C69"/>
    <w:rsid w:val="00711929"/>
    <w:rsid w:val="00715293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895"/>
    <w:rsid w:val="00727E03"/>
    <w:rsid w:val="00730167"/>
    <w:rsid w:val="007305B9"/>
    <w:rsid w:val="00734119"/>
    <w:rsid w:val="00735350"/>
    <w:rsid w:val="0073545D"/>
    <w:rsid w:val="00735854"/>
    <w:rsid w:val="0074006F"/>
    <w:rsid w:val="0074083E"/>
    <w:rsid w:val="00741570"/>
    <w:rsid w:val="007500B7"/>
    <w:rsid w:val="007500BD"/>
    <w:rsid w:val="0075232D"/>
    <w:rsid w:val="00752BF3"/>
    <w:rsid w:val="007551D9"/>
    <w:rsid w:val="0075647F"/>
    <w:rsid w:val="007579E6"/>
    <w:rsid w:val="00761488"/>
    <w:rsid w:val="00762409"/>
    <w:rsid w:val="007624C2"/>
    <w:rsid w:val="00764278"/>
    <w:rsid w:val="00771A8C"/>
    <w:rsid w:val="00772B9B"/>
    <w:rsid w:val="00774D11"/>
    <w:rsid w:val="00781237"/>
    <w:rsid w:val="00783092"/>
    <w:rsid w:val="00783FC3"/>
    <w:rsid w:val="00784C6E"/>
    <w:rsid w:val="00787BC4"/>
    <w:rsid w:val="0079157B"/>
    <w:rsid w:val="0079451D"/>
    <w:rsid w:val="00796F4C"/>
    <w:rsid w:val="007A242C"/>
    <w:rsid w:val="007A64C9"/>
    <w:rsid w:val="007A6827"/>
    <w:rsid w:val="007B0194"/>
    <w:rsid w:val="007B1EAF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E6849"/>
    <w:rsid w:val="007F24F8"/>
    <w:rsid w:val="007F29F0"/>
    <w:rsid w:val="007F2F92"/>
    <w:rsid w:val="0080198C"/>
    <w:rsid w:val="00804CF0"/>
    <w:rsid w:val="00805EF5"/>
    <w:rsid w:val="0080649E"/>
    <w:rsid w:val="00806602"/>
    <w:rsid w:val="00810760"/>
    <w:rsid w:val="00811486"/>
    <w:rsid w:val="00813D46"/>
    <w:rsid w:val="0081434A"/>
    <w:rsid w:val="00814E31"/>
    <w:rsid w:val="008157FA"/>
    <w:rsid w:val="00817C10"/>
    <w:rsid w:val="0082077A"/>
    <w:rsid w:val="00822548"/>
    <w:rsid w:val="008267C0"/>
    <w:rsid w:val="008330C0"/>
    <w:rsid w:val="0083366D"/>
    <w:rsid w:val="00834EC8"/>
    <w:rsid w:val="00835BF9"/>
    <w:rsid w:val="00836726"/>
    <w:rsid w:val="008418BC"/>
    <w:rsid w:val="0084484B"/>
    <w:rsid w:val="008525AB"/>
    <w:rsid w:val="00852816"/>
    <w:rsid w:val="00853159"/>
    <w:rsid w:val="00853993"/>
    <w:rsid w:val="00854A5A"/>
    <w:rsid w:val="00854E8C"/>
    <w:rsid w:val="008558C1"/>
    <w:rsid w:val="00855C33"/>
    <w:rsid w:val="00861B14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A1E8B"/>
    <w:rsid w:val="008A2ED9"/>
    <w:rsid w:val="008A7C6A"/>
    <w:rsid w:val="008B1173"/>
    <w:rsid w:val="008B12A1"/>
    <w:rsid w:val="008B1E86"/>
    <w:rsid w:val="008B3F3A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0CB1"/>
    <w:rsid w:val="00921CC7"/>
    <w:rsid w:val="00923839"/>
    <w:rsid w:val="0092627F"/>
    <w:rsid w:val="0092724D"/>
    <w:rsid w:val="00931768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66B6A"/>
    <w:rsid w:val="00971D7B"/>
    <w:rsid w:val="009753A1"/>
    <w:rsid w:val="009766BB"/>
    <w:rsid w:val="00981907"/>
    <w:rsid w:val="0098531E"/>
    <w:rsid w:val="00985684"/>
    <w:rsid w:val="00987ED0"/>
    <w:rsid w:val="009903F9"/>
    <w:rsid w:val="00991C68"/>
    <w:rsid w:val="009A254B"/>
    <w:rsid w:val="009A2F9E"/>
    <w:rsid w:val="009A370E"/>
    <w:rsid w:val="009A5EB3"/>
    <w:rsid w:val="009A64B0"/>
    <w:rsid w:val="009A7E05"/>
    <w:rsid w:val="009B0778"/>
    <w:rsid w:val="009B202D"/>
    <w:rsid w:val="009B22A3"/>
    <w:rsid w:val="009B5BB6"/>
    <w:rsid w:val="009C4972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16E23"/>
    <w:rsid w:val="00A210AA"/>
    <w:rsid w:val="00A24D0A"/>
    <w:rsid w:val="00A326D5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940"/>
    <w:rsid w:val="00A54CF4"/>
    <w:rsid w:val="00A605BA"/>
    <w:rsid w:val="00A60D19"/>
    <w:rsid w:val="00A63E53"/>
    <w:rsid w:val="00A70162"/>
    <w:rsid w:val="00A720A3"/>
    <w:rsid w:val="00A77577"/>
    <w:rsid w:val="00A77C38"/>
    <w:rsid w:val="00A77E2F"/>
    <w:rsid w:val="00A811D8"/>
    <w:rsid w:val="00A8224D"/>
    <w:rsid w:val="00A8295F"/>
    <w:rsid w:val="00A838FB"/>
    <w:rsid w:val="00A8568A"/>
    <w:rsid w:val="00A85F47"/>
    <w:rsid w:val="00A91799"/>
    <w:rsid w:val="00A92CD0"/>
    <w:rsid w:val="00A938FB"/>
    <w:rsid w:val="00A95C67"/>
    <w:rsid w:val="00AA0981"/>
    <w:rsid w:val="00AA188F"/>
    <w:rsid w:val="00AA6CC0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5176"/>
    <w:rsid w:val="00AE36F1"/>
    <w:rsid w:val="00AE3789"/>
    <w:rsid w:val="00AE7C55"/>
    <w:rsid w:val="00AF0B35"/>
    <w:rsid w:val="00AF20E9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B8A"/>
    <w:rsid w:val="00B26360"/>
    <w:rsid w:val="00B27220"/>
    <w:rsid w:val="00B31986"/>
    <w:rsid w:val="00B350F7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C57"/>
    <w:rsid w:val="00B53169"/>
    <w:rsid w:val="00B54EA0"/>
    <w:rsid w:val="00B574ED"/>
    <w:rsid w:val="00B61F2A"/>
    <w:rsid w:val="00B636BB"/>
    <w:rsid w:val="00B64130"/>
    <w:rsid w:val="00B67966"/>
    <w:rsid w:val="00B704DB"/>
    <w:rsid w:val="00B719EE"/>
    <w:rsid w:val="00B724C4"/>
    <w:rsid w:val="00B754E4"/>
    <w:rsid w:val="00B81944"/>
    <w:rsid w:val="00B82B9B"/>
    <w:rsid w:val="00B82CEB"/>
    <w:rsid w:val="00B8537C"/>
    <w:rsid w:val="00B864EC"/>
    <w:rsid w:val="00B87182"/>
    <w:rsid w:val="00B92FD5"/>
    <w:rsid w:val="00B92FF0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C5A3E"/>
    <w:rsid w:val="00BC7040"/>
    <w:rsid w:val="00BD5ECD"/>
    <w:rsid w:val="00BD6895"/>
    <w:rsid w:val="00BE0B21"/>
    <w:rsid w:val="00BE5610"/>
    <w:rsid w:val="00BE6A05"/>
    <w:rsid w:val="00BF17FC"/>
    <w:rsid w:val="00BF4842"/>
    <w:rsid w:val="00BF4EF7"/>
    <w:rsid w:val="00C051AB"/>
    <w:rsid w:val="00C0566D"/>
    <w:rsid w:val="00C07724"/>
    <w:rsid w:val="00C07C46"/>
    <w:rsid w:val="00C10B0F"/>
    <w:rsid w:val="00C17736"/>
    <w:rsid w:val="00C20011"/>
    <w:rsid w:val="00C20020"/>
    <w:rsid w:val="00C23283"/>
    <w:rsid w:val="00C247C5"/>
    <w:rsid w:val="00C26B3B"/>
    <w:rsid w:val="00C30414"/>
    <w:rsid w:val="00C304DD"/>
    <w:rsid w:val="00C30B2C"/>
    <w:rsid w:val="00C31F0C"/>
    <w:rsid w:val="00C329DE"/>
    <w:rsid w:val="00C34A6D"/>
    <w:rsid w:val="00C357C3"/>
    <w:rsid w:val="00C35912"/>
    <w:rsid w:val="00C42D12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DA5"/>
    <w:rsid w:val="00C743F2"/>
    <w:rsid w:val="00C746CA"/>
    <w:rsid w:val="00C778BE"/>
    <w:rsid w:val="00C809C9"/>
    <w:rsid w:val="00C80CD6"/>
    <w:rsid w:val="00C86012"/>
    <w:rsid w:val="00C94945"/>
    <w:rsid w:val="00C95C55"/>
    <w:rsid w:val="00CA12E5"/>
    <w:rsid w:val="00CA1478"/>
    <w:rsid w:val="00CA3463"/>
    <w:rsid w:val="00CB15E0"/>
    <w:rsid w:val="00CB18D2"/>
    <w:rsid w:val="00CB1B60"/>
    <w:rsid w:val="00CB2670"/>
    <w:rsid w:val="00CB657C"/>
    <w:rsid w:val="00CC18F0"/>
    <w:rsid w:val="00CC2B97"/>
    <w:rsid w:val="00CC2CE5"/>
    <w:rsid w:val="00CC337D"/>
    <w:rsid w:val="00CC4D3F"/>
    <w:rsid w:val="00CC6AC1"/>
    <w:rsid w:val="00CD090A"/>
    <w:rsid w:val="00CD1970"/>
    <w:rsid w:val="00CD3A53"/>
    <w:rsid w:val="00CD42BC"/>
    <w:rsid w:val="00CD5227"/>
    <w:rsid w:val="00CD5732"/>
    <w:rsid w:val="00CE4614"/>
    <w:rsid w:val="00CE46AC"/>
    <w:rsid w:val="00CE48F6"/>
    <w:rsid w:val="00CE54A6"/>
    <w:rsid w:val="00CE5E14"/>
    <w:rsid w:val="00CE6D90"/>
    <w:rsid w:val="00CF1773"/>
    <w:rsid w:val="00CF243F"/>
    <w:rsid w:val="00CF3A5C"/>
    <w:rsid w:val="00CF3B88"/>
    <w:rsid w:val="00CF3F31"/>
    <w:rsid w:val="00CF46FB"/>
    <w:rsid w:val="00CF4DD9"/>
    <w:rsid w:val="00CF6F5C"/>
    <w:rsid w:val="00D032C0"/>
    <w:rsid w:val="00D06EF1"/>
    <w:rsid w:val="00D10E3F"/>
    <w:rsid w:val="00D1259A"/>
    <w:rsid w:val="00D13C22"/>
    <w:rsid w:val="00D15B4A"/>
    <w:rsid w:val="00D16EEF"/>
    <w:rsid w:val="00D1734A"/>
    <w:rsid w:val="00D2004A"/>
    <w:rsid w:val="00D214DB"/>
    <w:rsid w:val="00D2274F"/>
    <w:rsid w:val="00D23EFB"/>
    <w:rsid w:val="00D248A8"/>
    <w:rsid w:val="00D26402"/>
    <w:rsid w:val="00D3203C"/>
    <w:rsid w:val="00D3311F"/>
    <w:rsid w:val="00D33EA2"/>
    <w:rsid w:val="00D34255"/>
    <w:rsid w:val="00D34C16"/>
    <w:rsid w:val="00D42278"/>
    <w:rsid w:val="00D428A4"/>
    <w:rsid w:val="00D42F24"/>
    <w:rsid w:val="00D45F19"/>
    <w:rsid w:val="00D479D0"/>
    <w:rsid w:val="00D47A7A"/>
    <w:rsid w:val="00D517BF"/>
    <w:rsid w:val="00D52392"/>
    <w:rsid w:val="00D5249B"/>
    <w:rsid w:val="00D53A51"/>
    <w:rsid w:val="00D54E88"/>
    <w:rsid w:val="00D5594E"/>
    <w:rsid w:val="00D561CB"/>
    <w:rsid w:val="00D6002A"/>
    <w:rsid w:val="00D639AF"/>
    <w:rsid w:val="00D64EBE"/>
    <w:rsid w:val="00D65BE6"/>
    <w:rsid w:val="00D71C8D"/>
    <w:rsid w:val="00D753DB"/>
    <w:rsid w:val="00D75F7A"/>
    <w:rsid w:val="00D76A99"/>
    <w:rsid w:val="00D76B20"/>
    <w:rsid w:val="00D7730F"/>
    <w:rsid w:val="00D7739D"/>
    <w:rsid w:val="00D77492"/>
    <w:rsid w:val="00D86C16"/>
    <w:rsid w:val="00D87DB0"/>
    <w:rsid w:val="00D92734"/>
    <w:rsid w:val="00D939CD"/>
    <w:rsid w:val="00D97053"/>
    <w:rsid w:val="00DA1B7E"/>
    <w:rsid w:val="00DA3ECC"/>
    <w:rsid w:val="00DA5067"/>
    <w:rsid w:val="00DA7CEA"/>
    <w:rsid w:val="00DB28CD"/>
    <w:rsid w:val="00DB6088"/>
    <w:rsid w:val="00DC031A"/>
    <w:rsid w:val="00DC0681"/>
    <w:rsid w:val="00DC21F5"/>
    <w:rsid w:val="00DC3A4F"/>
    <w:rsid w:val="00DC4CEF"/>
    <w:rsid w:val="00DC5260"/>
    <w:rsid w:val="00DC70FD"/>
    <w:rsid w:val="00DD34F5"/>
    <w:rsid w:val="00DD7CA9"/>
    <w:rsid w:val="00DE4730"/>
    <w:rsid w:val="00DE772D"/>
    <w:rsid w:val="00DF49F8"/>
    <w:rsid w:val="00DF5708"/>
    <w:rsid w:val="00E02B20"/>
    <w:rsid w:val="00E047BC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6344B"/>
    <w:rsid w:val="00E653D9"/>
    <w:rsid w:val="00E65900"/>
    <w:rsid w:val="00E67778"/>
    <w:rsid w:val="00E71FAB"/>
    <w:rsid w:val="00E72236"/>
    <w:rsid w:val="00E727AD"/>
    <w:rsid w:val="00E73B2B"/>
    <w:rsid w:val="00E75FB1"/>
    <w:rsid w:val="00E774C5"/>
    <w:rsid w:val="00E8126D"/>
    <w:rsid w:val="00E81912"/>
    <w:rsid w:val="00E81A74"/>
    <w:rsid w:val="00E83110"/>
    <w:rsid w:val="00E91161"/>
    <w:rsid w:val="00E91606"/>
    <w:rsid w:val="00E919F7"/>
    <w:rsid w:val="00E947F5"/>
    <w:rsid w:val="00E97A5D"/>
    <w:rsid w:val="00EA0406"/>
    <w:rsid w:val="00EA10D5"/>
    <w:rsid w:val="00EA12F8"/>
    <w:rsid w:val="00EA2058"/>
    <w:rsid w:val="00EA386B"/>
    <w:rsid w:val="00EA7E06"/>
    <w:rsid w:val="00EB14AE"/>
    <w:rsid w:val="00EB1E99"/>
    <w:rsid w:val="00EB2554"/>
    <w:rsid w:val="00EB37D4"/>
    <w:rsid w:val="00EB5C17"/>
    <w:rsid w:val="00EB6218"/>
    <w:rsid w:val="00EC0421"/>
    <w:rsid w:val="00EC1D7F"/>
    <w:rsid w:val="00EC4EAE"/>
    <w:rsid w:val="00EC771B"/>
    <w:rsid w:val="00ED09A1"/>
    <w:rsid w:val="00ED0EAB"/>
    <w:rsid w:val="00ED1652"/>
    <w:rsid w:val="00ED1F4C"/>
    <w:rsid w:val="00ED202C"/>
    <w:rsid w:val="00ED299D"/>
    <w:rsid w:val="00EE0429"/>
    <w:rsid w:val="00EE1D95"/>
    <w:rsid w:val="00EE1DCF"/>
    <w:rsid w:val="00EE2F52"/>
    <w:rsid w:val="00EF0F16"/>
    <w:rsid w:val="00EF30B7"/>
    <w:rsid w:val="00EF626C"/>
    <w:rsid w:val="00F003F7"/>
    <w:rsid w:val="00F006F9"/>
    <w:rsid w:val="00F025B9"/>
    <w:rsid w:val="00F060F2"/>
    <w:rsid w:val="00F06D2D"/>
    <w:rsid w:val="00F06DC8"/>
    <w:rsid w:val="00F06F1D"/>
    <w:rsid w:val="00F102F3"/>
    <w:rsid w:val="00F21D45"/>
    <w:rsid w:val="00F279B5"/>
    <w:rsid w:val="00F3102B"/>
    <w:rsid w:val="00F31577"/>
    <w:rsid w:val="00F31C84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38E5"/>
    <w:rsid w:val="00F641CD"/>
    <w:rsid w:val="00F64C79"/>
    <w:rsid w:val="00F6648F"/>
    <w:rsid w:val="00F6666E"/>
    <w:rsid w:val="00F70499"/>
    <w:rsid w:val="00F706D1"/>
    <w:rsid w:val="00F73717"/>
    <w:rsid w:val="00F75801"/>
    <w:rsid w:val="00F75C13"/>
    <w:rsid w:val="00F82529"/>
    <w:rsid w:val="00F848B3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7404"/>
    <w:rsid w:val="00FB0E4B"/>
    <w:rsid w:val="00FB1988"/>
    <w:rsid w:val="00FB65AC"/>
    <w:rsid w:val="00FB6907"/>
    <w:rsid w:val="00FB6986"/>
    <w:rsid w:val="00FC36EA"/>
    <w:rsid w:val="00FD789B"/>
    <w:rsid w:val="00FE1620"/>
    <w:rsid w:val="00FE6A74"/>
    <w:rsid w:val="00FE7F58"/>
    <w:rsid w:val="00FF4817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9451D"/>
    <w:rPr>
      <w:rFonts w:ascii="Calibri" w:hAnsi="Calibri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79451D"/>
    <w:rPr>
      <w:lang w:eastAsia="en-US"/>
    </w:rPr>
  </w:style>
  <w:style w:type="character" w:styleId="ac">
    <w:name w:val="footnote reference"/>
    <w:uiPriority w:val="99"/>
    <w:semiHidden/>
    <w:unhideWhenUsed/>
    <w:rsid w:val="007945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86;&#1073;&#1097;&#1072;&#1103;\&#1057;&#1076;&#1077;&#1083;&#1072;&#1090;&#1100;\&#1058;&#1072;&#1073;&#1083;&#1080;&#1094;&#1099;_XL\&#1043;&#1088;&#1072;&#1092;&#1080;&#108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86;&#1073;&#1097;&#1072;&#1103;\&#1057;&#1076;&#1077;&#1083;&#1072;&#1090;&#1100;\&#1058;&#1072;&#1073;&#1083;&#1080;&#1094;&#1099;_XL\&#1043;&#1088;&#1072;&#1092;&#1080;&#1082;%20-%20&#1082;&#1086;&#1087;&#1080;&#1103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0401212506145371E-2"/>
          <c:y val="0.1032232128008793"/>
          <c:w val="0.86747404222896962"/>
          <c:h val="0.69721148492802032"/>
        </c:manualLayout>
      </c:layout>
      <c:lineChart>
        <c:grouping val="stacked"/>
        <c:ser>
          <c:idx val="0"/>
          <c:order val="0"/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pPr>
              <a:solidFill>
                <a:schemeClr val="tx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</c:marker>
          <c:cat>
            <c:numRef>
              <c:f>Лист1!$C$2:$C$29</c:f>
              <c:numCache>
                <c:formatCode>0</c:formatCode>
                <c:ptCount val="28"/>
                <c:pt idx="0">
                  <c:v>1985</c:v>
                </c:pt>
                <c:pt idx="1">
                  <c:v>1985</c:v>
                </c:pt>
                <c:pt idx="2">
                  <c:v>1986</c:v>
                </c:pt>
                <c:pt idx="3">
                  <c:v>1986</c:v>
                </c:pt>
                <c:pt idx="4">
                  <c:v>1987</c:v>
                </c:pt>
                <c:pt idx="5">
                  <c:v>1987</c:v>
                </c:pt>
                <c:pt idx="6">
                  <c:v>1988</c:v>
                </c:pt>
                <c:pt idx="7">
                  <c:v>1988</c:v>
                </c:pt>
                <c:pt idx="8">
                  <c:v>1989</c:v>
                </c:pt>
                <c:pt idx="9">
                  <c:v>1989</c:v>
                </c:pt>
                <c:pt idx="10">
                  <c:v>1990</c:v>
                </c:pt>
                <c:pt idx="11">
                  <c:v>1990</c:v>
                </c:pt>
                <c:pt idx="12">
                  <c:v>1991</c:v>
                </c:pt>
                <c:pt idx="13">
                  <c:v>1991</c:v>
                </c:pt>
                <c:pt idx="14">
                  <c:v>1992</c:v>
                </c:pt>
                <c:pt idx="15">
                  <c:v>1992</c:v>
                </c:pt>
                <c:pt idx="16">
                  <c:v>1993</c:v>
                </c:pt>
                <c:pt idx="17">
                  <c:v>1993</c:v>
                </c:pt>
                <c:pt idx="18">
                  <c:v>1994</c:v>
                </c:pt>
                <c:pt idx="19">
                  <c:v>1994</c:v>
                </c:pt>
                <c:pt idx="20">
                  <c:v>1995</c:v>
                </c:pt>
                <c:pt idx="21">
                  <c:v>1995</c:v>
                </c:pt>
                <c:pt idx="22">
                  <c:v>1996</c:v>
                </c:pt>
                <c:pt idx="23">
                  <c:v>1996</c:v>
                </c:pt>
                <c:pt idx="24">
                  <c:v>1997</c:v>
                </c:pt>
                <c:pt idx="25">
                  <c:v>1997</c:v>
                </c:pt>
                <c:pt idx="26">
                  <c:v>1998</c:v>
                </c:pt>
                <c:pt idx="27">
                  <c:v>1998</c:v>
                </c:pt>
              </c:numCache>
            </c:num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690</c:v>
                </c:pt>
                <c:pt idx="1">
                  <c:v>700</c:v>
                </c:pt>
                <c:pt idx="2">
                  <c:v>715</c:v>
                </c:pt>
                <c:pt idx="3">
                  <c:v>500</c:v>
                </c:pt>
                <c:pt idx="4">
                  <c:v>700</c:v>
                </c:pt>
                <c:pt idx="5">
                  <c:v>620</c:v>
                </c:pt>
                <c:pt idx="6">
                  <c:v>710</c:v>
                </c:pt>
                <c:pt idx="7">
                  <c:v>515</c:v>
                </c:pt>
                <c:pt idx="8">
                  <c:v>730</c:v>
                </c:pt>
                <c:pt idx="9">
                  <c:v>450</c:v>
                </c:pt>
                <c:pt idx="10">
                  <c:v>430</c:v>
                </c:pt>
                <c:pt idx="11">
                  <c:v>380</c:v>
                </c:pt>
                <c:pt idx="12">
                  <c:v>400</c:v>
                </c:pt>
                <c:pt idx="13">
                  <c:v>440</c:v>
                </c:pt>
                <c:pt idx="14">
                  <c:v>600</c:v>
                </c:pt>
                <c:pt idx="15">
                  <c:v>700</c:v>
                </c:pt>
                <c:pt idx="16">
                  <c:v>750</c:v>
                </c:pt>
                <c:pt idx="17">
                  <c:v>310</c:v>
                </c:pt>
                <c:pt idx="18">
                  <c:v>340</c:v>
                </c:pt>
                <c:pt idx="19">
                  <c:v>220</c:v>
                </c:pt>
                <c:pt idx="20">
                  <c:v>400</c:v>
                </c:pt>
                <c:pt idx="21">
                  <c:v>290</c:v>
                </c:pt>
                <c:pt idx="22">
                  <c:v>250</c:v>
                </c:pt>
                <c:pt idx="23">
                  <c:v>300</c:v>
                </c:pt>
                <c:pt idx="24">
                  <c:v>340</c:v>
                </c:pt>
                <c:pt idx="25">
                  <c:v>410</c:v>
                </c:pt>
                <c:pt idx="26">
                  <c:v>450</c:v>
                </c:pt>
                <c:pt idx="27">
                  <c:v>500</c:v>
                </c:pt>
              </c:numCache>
            </c:numRef>
          </c:val>
        </c:ser>
        <c:marker val="1"/>
        <c:axId val="298236160"/>
        <c:axId val="298250240"/>
      </c:lineChart>
      <c:catAx>
        <c:axId val="298236160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93384569172450316"/>
              <c:y val="0.79355357439824159"/>
            </c:manualLayout>
          </c:layout>
        </c:title>
        <c:numFmt formatCode="0" sourceLinked="0"/>
        <c:tickLblPos val="nextTo"/>
        <c:txPr>
          <a:bodyPr rot="-5400000" vert="horz"/>
          <a:lstStyle/>
          <a:p>
            <a:pPr>
              <a:defRPr sz="1050"/>
            </a:pPr>
            <a:endParaRPr lang="ru-RU"/>
          </a:p>
        </c:txPr>
        <c:crossAx val="298250240"/>
        <c:crosses val="autoZero"/>
        <c:auto val="1"/>
        <c:lblAlgn val="ctr"/>
        <c:lblOffset val="100"/>
        <c:tickLblSkip val="2"/>
        <c:tickMarkSkip val="1"/>
      </c:catAx>
      <c:valAx>
        <c:axId val="29825024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тыс. человек</a:t>
                </a:r>
              </a:p>
            </c:rich>
          </c:tx>
          <c:layout>
            <c:manualLayout>
              <c:xMode val="edge"/>
              <c:yMode val="edge"/>
              <c:x val="1.7543856956323472E-2"/>
              <c:y val="2.1700180039478541E-2"/>
            </c:manualLayout>
          </c:layout>
        </c:title>
        <c:numFmt formatCode="General" sourceLinked="1"/>
        <c:tickLblPos val="nextTo"/>
        <c:crossAx val="298236160"/>
        <c:crosses val="autoZero"/>
        <c:crossBetween val="midCat"/>
      </c:valAx>
    </c:plotArea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0401212506145371E-2"/>
          <c:y val="0.1032232128008793"/>
          <c:w val="0.86747404222896962"/>
          <c:h val="0.69721148492802032"/>
        </c:manualLayout>
      </c:layout>
      <c:lineChart>
        <c:grouping val="stacked"/>
        <c:ser>
          <c:idx val="0"/>
          <c:order val="0"/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pPr>
              <a:solidFill>
                <a:schemeClr val="tx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</c:marker>
          <c:cat>
            <c:numRef>
              <c:f>Лист1!$C$2:$C$29</c:f>
              <c:numCache>
                <c:formatCode>0</c:formatCode>
                <c:ptCount val="28"/>
                <c:pt idx="0">
                  <c:v>1985</c:v>
                </c:pt>
                <c:pt idx="1">
                  <c:v>1985</c:v>
                </c:pt>
                <c:pt idx="2">
                  <c:v>1986</c:v>
                </c:pt>
                <c:pt idx="3">
                  <c:v>1986</c:v>
                </c:pt>
                <c:pt idx="4">
                  <c:v>1987</c:v>
                </c:pt>
                <c:pt idx="5">
                  <c:v>1987</c:v>
                </c:pt>
                <c:pt idx="6">
                  <c:v>1988</c:v>
                </c:pt>
                <c:pt idx="7">
                  <c:v>1988</c:v>
                </c:pt>
                <c:pt idx="8">
                  <c:v>1989</c:v>
                </c:pt>
                <c:pt idx="9">
                  <c:v>1989</c:v>
                </c:pt>
                <c:pt idx="10">
                  <c:v>1990</c:v>
                </c:pt>
                <c:pt idx="11">
                  <c:v>1990</c:v>
                </c:pt>
                <c:pt idx="12">
                  <c:v>1991</c:v>
                </c:pt>
                <c:pt idx="13">
                  <c:v>1991</c:v>
                </c:pt>
                <c:pt idx="14">
                  <c:v>1992</c:v>
                </c:pt>
                <c:pt idx="15">
                  <c:v>1992</c:v>
                </c:pt>
                <c:pt idx="16">
                  <c:v>1993</c:v>
                </c:pt>
                <c:pt idx="17">
                  <c:v>1993</c:v>
                </c:pt>
                <c:pt idx="18">
                  <c:v>1994</c:v>
                </c:pt>
                <c:pt idx="19">
                  <c:v>1994</c:v>
                </c:pt>
                <c:pt idx="20">
                  <c:v>1995</c:v>
                </c:pt>
                <c:pt idx="21">
                  <c:v>1995</c:v>
                </c:pt>
                <c:pt idx="22">
                  <c:v>1996</c:v>
                </c:pt>
                <c:pt idx="23">
                  <c:v>1996</c:v>
                </c:pt>
                <c:pt idx="24">
                  <c:v>1997</c:v>
                </c:pt>
                <c:pt idx="25">
                  <c:v>1997</c:v>
                </c:pt>
                <c:pt idx="26">
                  <c:v>1998</c:v>
                </c:pt>
                <c:pt idx="27">
                  <c:v>1998</c:v>
                </c:pt>
              </c:numCache>
            </c:num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690</c:v>
                </c:pt>
                <c:pt idx="1">
                  <c:v>700</c:v>
                </c:pt>
                <c:pt idx="2">
                  <c:v>715</c:v>
                </c:pt>
                <c:pt idx="3">
                  <c:v>500</c:v>
                </c:pt>
                <c:pt idx="4">
                  <c:v>700</c:v>
                </c:pt>
                <c:pt idx="5">
                  <c:v>620</c:v>
                </c:pt>
                <c:pt idx="6">
                  <c:v>710</c:v>
                </c:pt>
                <c:pt idx="7">
                  <c:v>515</c:v>
                </c:pt>
                <c:pt idx="8">
                  <c:v>730</c:v>
                </c:pt>
                <c:pt idx="9">
                  <c:v>450</c:v>
                </c:pt>
                <c:pt idx="10">
                  <c:v>430</c:v>
                </c:pt>
                <c:pt idx="11">
                  <c:v>380</c:v>
                </c:pt>
                <c:pt idx="12">
                  <c:v>400</c:v>
                </c:pt>
                <c:pt idx="13">
                  <c:v>440</c:v>
                </c:pt>
                <c:pt idx="14">
                  <c:v>600</c:v>
                </c:pt>
                <c:pt idx="15">
                  <c:v>700</c:v>
                </c:pt>
                <c:pt idx="16">
                  <c:v>750</c:v>
                </c:pt>
                <c:pt idx="17">
                  <c:v>310</c:v>
                </c:pt>
                <c:pt idx="18">
                  <c:v>340</c:v>
                </c:pt>
                <c:pt idx="19">
                  <c:v>220</c:v>
                </c:pt>
                <c:pt idx="20">
                  <c:v>400</c:v>
                </c:pt>
                <c:pt idx="21">
                  <c:v>290</c:v>
                </c:pt>
                <c:pt idx="22">
                  <c:v>360</c:v>
                </c:pt>
                <c:pt idx="23">
                  <c:v>480</c:v>
                </c:pt>
                <c:pt idx="24">
                  <c:v>520</c:v>
                </c:pt>
                <c:pt idx="25">
                  <c:v>500</c:v>
                </c:pt>
                <c:pt idx="26">
                  <c:v>510</c:v>
                </c:pt>
                <c:pt idx="27">
                  <c:v>510</c:v>
                </c:pt>
              </c:numCache>
            </c:numRef>
          </c:val>
        </c:ser>
        <c:marker val="1"/>
        <c:axId val="298330752"/>
        <c:axId val="298357888"/>
      </c:lineChart>
      <c:catAx>
        <c:axId val="298330752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годы</a:t>
                </a:r>
              </a:p>
            </c:rich>
          </c:tx>
          <c:layout>
            <c:manualLayout>
              <c:xMode val="edge"/>
              <c:yMode val="edge"/>
              <c:x val="0.93384569172450316"/>
              <c:y val="0.79355357439824159"/>
            </c:manualLayout>
          </c:layout>
        </c:title>
        <c:numFmt formatCode="0" sourceLinked="0"/>
        <c:tickLblPos val="nextTo"/>
        <c:txPr>
          <a:bodyPr rot="-5400000" vert="horz"/>
          <a:lstStyle/>
          <a:p>
            <a:pPr>
              <a:defRPr sz="1050"/>
            </a:pPr>
            <a:endParaRPr lang="ru-RU"/>
          </a:p>
        </c:txPr>
        <c:crossAx val="298357888"/>
        <c:crosses val="autoZero"/>
        <c:auto val="1"/>
        <c:lblAlgn val="ctr"/>
        <c:lblOffset val="100"/>
        <c:tickLblSkip val="2"/>
        <c:tickMarkSkip val="1"/>
      </c:catAx>
      <c:valAx>
        <c:axId val="29835788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тыс. человек</a:t>
                </a:r>
              </a:p>
            </c:rich>
          </c:tx>
          <c:layout>
            <c:manualLayout>
              <c:xMode val="edge"/>
              <c:yMode val="edge"/>
              <c:x val="1.7543856956323472E-2"/>
              <c:y val="2.1700180039478541E-2"/>
            </c:manualLayout>
          </c:layout>
        </c:title>
        <c:numFmt formatCode="General" sourceLinked="1"/>
        <c:tickLblPos val="nextTo"/>
        <c:crossAx val="298330752"/>
        <c:crosses val="autoZero"/>
        <c:crossBetween val="midCat"/>
      </c:valAx>
    </c:plotArea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F856-2DC3-4271-94AD-F54B1D94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1</cp:lastModifiedBy>
  <cp:revision>3</cp:revision>
  <cp:lastPrinted>2015-04-19T15:15:00Z</cp:lastPrinted>
  <dcterms:created xsi:type="dcterms:W3CDTF">2018-01-30T08:46:00Z</dcterms:created>
  <dcterms:modified xsi:type="dcterms:W3CDTF">2018-01-30T08:51:00Z</dcterms:modified>
</cp:coreProperties>
</file>