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15" w:rsidRDefault="00401415" w:rsidP="00401415">
      <w:pPr>
        <w:ind w:firstLine="709"/>
      </w:pPr>
      <w:r>
        <w:t>Вам необходимо сделать обзор потребительских рынков, для которы</w:t>
      </w:r>
      <w:r w:rsidR="006D2F5D">
        <w:t>х</w:t>
      </w:r>
      <w:r>
        <w:t xml:space="preserve"> </w:t>
      </w:r>
      <w:r w:rsidR="006D2F5D">
        <w:t>общей те</w:t>
      </w:r>
      <w:r w:rsidR="006D2F5D">
        <w:t>н</w:t>
      </w:r>
      <w:r w:rsidR="006D2F5D">
        <w:t xml:space="preserve">денцией </w:t>
      </w:r>
      <w:r>
        <w:t>2015 год</w:t>
      </w:r>
      <w:r w:rsidR="006D2F5D">
        <w:t>а</w:t>
      </w:r>
      <w:r>
        <w:t xml:space="preserve"> было снижение продаж.</w:t>
      </w:r>
    </w:p>
    <w:p w:rsidR="00401415" w:rsidRDefault="00401415" w:rsidP="00401415">
      <w:pPr>
        <w:ind w:firstLine="709"/>
        <w:rPr>
          <w:color w:val="FF0000"/>
        </w:rPr>
      </w:pPr>
      <w:r>
        <w:t>Бегло просмотрите графики, иллюстрирующие объем продаж по отдельным ры</w:t>
      </w:r>
      <w:r>
        <w:t>н</w:t>
      </w:r>
      <w:r>
        <w:t>кам. Запишите номера тех потребительских рынков, по которым вы начнете искать мат</w:t>
      </w:r>
      <w:r>
        <w:t>е</w:t>
      </w:r>
      <w:r>
        <w:t>риал для своего обзора.</w:t>
      </w:r>
    </w:p>
    <w:p w:rsidR="00401415" w:rsidRDefault="00401415" w:rsidP="00401415">
      <w:pPr>
        <w:ind w:firstLine="709"/>
      </w:pPr>
      <w:r>
        <w:t>На выполнение задания вам отводится 3 минуты.</w:t>
      </w:r>
    </w:p>
    <w:p w:rsidR="00401415" w:rsidRDefault="00401415" w:rsidP="0088775D">
      <w:pPr>
        <w:ind w:firstLine="709"/>
      </w:pPr>
    </w:p>
    <w:p w:rsidR="0088775D" w:rsidRDefault="0088775D" w:rsidP="0088775D">
      <w:r>
        <w:t>________________________________________________________________________</w:t>
      </w:r>
    </w:p>
    <w:p w:rsidR="00F8117A" w:rsidRDefault="00F8117A" w:rsidP="00F8117A">
      <w:pPr>
        <w:ind w:firstLine="709"/>
      </w:pPr>
    </w:p>
    <w:p w:rsidR="00F8117A" w:rsidRPr="00F8117A" w:rsidRDefault="00F8117A" w:rsidP="00F8117A">
      <w:pPr>
        <w:rPr>
          <w:i/>
        </w:rPr>
      </w:pPr>
      <w:r>
        <w:rPr>
          <w:i/>
        </w:rPr>
        <w:t>Для справки:</w:t>
      </w:r>
    </w:p>
    <w:p w:rsidR="00F8117A" w:rsidRDefault="00F8117A" w:rsidP="00F8117A">
      <w:r>
        <w:t>Тенденция - направление развития, склонность, стремление (Толковый словарь русского языка С.И. Ожегова).</w:t>
      </w:r>
    </w:p>
    <w:p w:rsidR="0088775D" w:rsidRDefault="0088775D"/>
    <w:p w:rsidR="0088775D" w:rsidRPr="0088775D" w:rsidRDefault="0088775D" w:rsidP="0088775D">
      <w:pPr>
        <w:jc w:val="center"/>
        <w:rPr>
          <w:b/>
        </w:rPr>
      </w:pPr>
      <w:r w:rsidRPr="0088775D">
        <w:rPr>
          <w:b/>
        </w:rPr>
        <w:t xml:space="preserve">Объемы </w:t>
      </w:r>
      <w:r w:rsidR="00D52F51">
        <w:rPr>
          <w:b/>
        </w:rPr>
        <w:t>продаж</w:t>
      </w:r>
      <w:r w:rsidRPr="0088775D">
        <w:rPr>
          <w:b/>
        </w:rPr>
        <w:t xml:space="preserve"> по </w:t>
      </w:r>
      <w:r w:rsidR="00D52F51">
        <w:rPr>
          <w:b/>
        </w:rPr>
        <w:t>потребительским рынкам</w:t>
      </w:r>
      <w:r w:rsidRPr="0088775D">
        <w:rPr>
          <w:b/>
        </w:rPr>
        <w:t>, 2015 год</w:t>
      </w:r>
    </w:p>
    <w:p w:rsidR="0088775D" w:rsidRDefault="0088775D" w:rsidP="0088775D">
      <w:pPr>
        <w:jc w:val="center"/>
      </w:pPr>
    </w:p>
    <w:tbl>
      <w:tblPr>
        <w:tblW w:w="0" w:type="auto"/>
        <w:tblLook w:val="04A0"/>
      </w:tblPr>
      <w:tblGrid>
        <w:gridCol w:w="6959"/>
        <w:gridCol w:w="2612"/>
      </w:tblGrid>
      <w:tr w:rsidR="00E50B59" w:rsidTr="006D2F5D">
        <w:tc>
          <w:tcPr>
            <w:tcW w:w="6956" w:type="dxa"/>
          </w:tcPr>
          <w:p w:rsid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3595847" cy="2519291"/>
                  <wp:effectExtent l="12213" t="6104" r="5725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88775D" w:rsidRDefault="00F8117A" w:rsidP="00E50B59">
            <w:pPr>
              <w:jc w:val="left"/>
            </w:pPr>
            <w:r>
              <w:t xml:space="preserve">Потребительский </w:t>
            </w:r>
            <w:r>
              <w:br/>
              <w:t>рынок</w:t>
            </w:r>
            <w:r w:rsidR="0088775D">
              <w:t xml:space="preserve"> 1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3593749" cy="2386401"/>
                  <wp:effectExtent l="12213" t="6104" r="7823" b="2080"/>
                  <wp:docPr id="2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2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584039" cy="2490078"/>
                  <wp:effectExtent l="12166" t="6107" r="3610" b="0"/>
                  <wp:docPr id="3" name="Диаграмм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3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3653945" cy="2214499"/>
                  <wp:effectExtent l="12173" t="6096" r="6087" b="0"/>
                  <wp:docPr id="4" name="Диаграмма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4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3642023" cy="2445571"/>
                  <wp:effectExtent l="12158" t="6099" r="3419" b="1335"/>
                  <wp:docPr id="5" name="Диаграмма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5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073429" cy="2560231"/>
                  <wp:effectExtent l="12173" t="6113" r="7608" b="2866"/>
                  <wp:docPr id="6" name="Диаграмма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6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4086888" cy="2431710"/>
                  <wp:effectExtent l="12217" t="6088" r="8710" b="602"/>
                  <wp:docPr id="7" name="Диаграмма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7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4086888" cy="2737104"/>
                  <wp:effectExtent l="12217" t="6096" r="8710" b="0"/>
                  <wp:docPr id="8" name="Диаграмма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8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768598" cy="2563122"/>
                  <wp:effectExtent l="12192" t="6088" r="7620" b="0"/>
                  <wp:docPr id="9" name="Диаграмма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9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3773019" cy="2517713"/>
                  <wp:effectExtent l="12192" t="6079" r="3199" b="1603"/>
                  <wp:docPr id="10" name="Диаграмма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10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3773019" cy="2415280"/>
                  <wp:effectExtent l="12192" t="6101" r="3199" b="2414"/>
                  <wp:docPr id="11" name="Диаграмм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11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51591" cy="2590366"/>
                  <wp:effectExtent l="12183" t="6086" r="3426" b="1333"/>
                  <wp:docPr id="12" name="Диаграмма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12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4264478" cy="2504697"/>
                  <wp:effectExtent l="12196" t="6093" r="5131" b="0"/>
                  <wp:docPr id="13" name="Диаграмма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13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drawing>
                <wp:inline distT="0" distB="0" distL="0" distR="0">
                  <wp:extent cx="4251430" cy="2838723"/>
                  <wp:effectExtent l="12183" t="6077" r="3587" b="0"/>
                  <wp:docPr id="14" name="Диаграмма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14</w:t>
            </w:r>
          </w:p>
        </w:tc>
      </w:tr>
      <w:tr w:rsidR="00F8117A" w:rsidTr="006D2F5D">
        <w:tc>
          <w:tcPr>
            <w:tcW w:w="6956" w:type="dxa"/>
          </w:tcPr>
          <w:p w:rsidR="00F8117A" w:rsidRPr="0088775D" w:rsidRDefault="00C458B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148854" cy="2476119"/>
                  <wp:effectExtent l="12179" t="6096" r="4567" b="0"/>
                  <wp:docPr id="15" name="Диаграмма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2615" w:type="dxa"/>
            <w:vAlign w:val="center"/>
          </w:tcPr>
          <w:p w:rsidR="00F8117A" w:rsidRDefault="00F8117A" w:rsidP="00F8117A">
            <w:pPr>
              <w:jc w:val="left"/>
            </w:pPr>
            <w:r>
              <w:t xml:space="preserve">Потребительский </w:t>
            </w:r>
            <w:r>
              <w:br/>
              <w:t>рынок 15</w:t>
            </w:r>
          </w:p>
        </w:tc>
      </w:tr>
    </w:tbl>
    <w:p w:rsidR="0088775D" w:rsidRDefault="0088775D"/>
    <w:p w:rsidR="0088775D" w:rsidRDefault="0088775D"/>
    <w:p w:rsidR="0088775D" w:rsidRPr="0088775D" w:rsidRDefault="0088775D">
      <w:pPr>
        <w:rPr>
          <w:u w:val="single"/>
        </w:rPr>
      </w:pPr>
      <w:r w:rsidRPr="0088775D">
        <w:rPr>
          <w:u w:val="single"/>
        </w:rPr>
        <w:t>Инструмент проверки</w:t>
      </w:r>
    </w:p>
    <w:p w:rsidR="0088775D" w:rsidRDefault="0088775D"/>
    <w:p w:rsidR="0088775D" w:rsidRDefault="0088775D">
      <w:r>
        <w:t xml:space="preserve">2, </w:t>
      </w:r>
      <w:r w:rsidR="00F8117A">
        <w:t>8, 10, 15</w:t>
      </w:r>
    </w:p>
    <w:p w:rsidR="0088775D" w:rsidRDefault="0088775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092"/>
      </w:tblGrid>
      <w:tr w:rsidR="0088775D" w:rsidTr="00E50B59">
        <w:tc>
          <w:tcPr>
            <w:tcW w:w="7479" w:type="dxa"/>
          </w:tcPr>
          <w:p w:rsidR="0088775D" w:rsidRDefault="0088775D" w:rsidP="00F8117A">
            <w:r>
              <w:t>За кажд</w:t>
            </w:r>
            <w:r w:rsidR="00F8117A">
              <w:t>ый</w:t>
            </w:r>
            <w:r>
              <w:t xml:space="preserve"> верно названн</w:t>
            </w:r>
            <w:r w:rsidR="00F8117A">
              <w:t>ый</w:t>
            </w:r>
            <w:r>
              <w:t xml:space="preserve"> </w:t>
            </w:r>
            <w:r w:rsidR="00F8117A">
              <w:t>рынок</w:t>
            </w:r>
          </w:p>
        </w:tc>
        <w:tc>
          <w:tcPr>
            <w:tcW w:w="2092" w:type="dxa"/>
          </w:tcPr>
          <w:p w:rsidR="0088775D" w:rsidRDefault="0088775D">
            <w:r>
              <w:t>1 балл</w:t>
            </w:r>
          </w:p>
        </w:tc>
      </w:tr>
      <w:tr w:rsidR="0088775D" w:rsidTr="00F8117A">
        <w:tc>
          <w:tcPr>
            <w:tcW w:w="7479" w:type="dxa"/>
          </w:tcPr>
          <w:p w:rsidR="0088775D" w:rsidRPr="00E50B59" w:rsidRDefault="00E50B59" w:rsidP="00E50B59">
            <w:pPr>
              <w:ind w:left="709"/>
              <w:rPr>
                <w:i/>
              </w:rPr>
            </w:pPr>
            <w:r w:rsidRPr="00E50B59">
              <w:rPr>
                <w:i/>
              </w:rPr>
              <w:t>Максимально</w:t>
            </w:r>
          </w:p>
        </w:tc>
        <w:tc>
          <w:tcPr>
            <w:tcW w:w="2092" w:type="dxa"/>
            <w:shd w:val="clear" w:color="auto" w:fill="FFFFFF"/>
          </w:tcPr>
          <w:p w:rsidR="0088775D" w:rsidRPr="00E50B59" w:rsidRDefault="00F8117A" w:rsidP="00E50B59">
            <w:pPr>
              <w:jc w:val="right"/>
              <w:rPr>
                <w:i/>
              </w:rPr>
            </w:pPr>
            <w:r>
              <w:rPr>
                <w:i/>
              </w:rPr>
              <w:t>4</w:t>
            </w:r>
            <w:r w:rsidR="00E50B59" w:rsidRPr="00E50B59">
              <w:rPr>
                <w:i/>
              </w:rPr>
              <w:t xml:space="preserve"> балла</w:t>
            </w:r>
          </w:p>
        </w:tc>
      </w:tr>
      <w:tr w:rsidR="00E50B59" w:rsidTr="00E50B59">
        <w:tc>
          <w:tcPr>
            <w:tcW w:w="7479" w:type="dxa"/>
          </w:tcPr>
          <w:p w:rsidR="00E50B59" w:rsidRDefault="00E50B59">
            <w:r>
              <w:t xml:space="preserve">За отсутствие избыточно указанных </w:t>
            </w:r>
            <w:r w:rsidR="00F8117A">
              <w:t>рынков</w:t>
            </w:r>
          </w:p>
          <w:p w:rsidR="00E50B59" w:rsidRDefault="00E50B59" w:rsidP="00F8117A">
            <w:r>
              <w:t>(балл выставляется при наличии хотя бы одно</w:t>
            </w:r>
            <w:r w:rsidR="00F8117A">
              <w:t>го</w:t>
            </w:r>
            <w:r>
              <w:t xml:space="preserve"> верно указанно</w:t>
            </w:r>
            <w:r w:rsidR="00F8117A">
              <w:t>го</w:t>
            </w:r>
            <w:r>
              <w:t xml:space="preserve"> </w:t>
            </w:r>
            <w:r w:rsidR="00F8117A">
              <w:t>рынка)</w:t>
            </w:r>
          </w:p>
        </w:tc>
        <w:tc>
          <w:tcPr>
            <w:tcW w:w="2092" w:type="dxa"/>
          </w:tcPr>
          <w:p w:rsidR="00E50B59" w:rsidRDefault="00E50B59">
            <w:r>
              <w:t>1 балл</w:t>
            </w:r>
          </w:p>
        </w:tc>
      </w:tr>
      <w:tr w:rsidR="0088775D" w:rsidTr="00E50B59">
        <w:tc>
          <w:tcPr>
            <w:tcW w:w="7479" w:type="dxa"/>
          </w:tcPr>
          <w:p w:rsidR="0088775D" w:rsidRDefault="00E50B59">
            <w:r>
              <w:t>За соблюдение ограничения по времени</w:t>
            </w:r>
          </w:p>
          <w:p w:rsidR="00E50B59" w:rsidRDefault="00E50B59">
            <w:r>
              <w:t>(балл выставляется при наличии хотя бы одной верно указанной о</w:t>
            </w:r>
            <w:r>
              <w:t>т</w:t>
            </w:r>
            <w:r>
              <w:t>расли)</w:t>
            </w:r>
          </w:p>
        </w:tc>
        <w:tc>
          <w:tcPr>
            <w:tcW w:w="2092" w:type="dxa"/>
          </w:tcPr>
          <w:p w:rsidR="0088775D" w:rsidRDefault="00E50B59">
            <w:r>
              <w:t>1 балл</w:t>
            </w:r>
          </w:p>
        </w:tc>
      </w:tr>
      <w:tr w:rsidR="0088775D" w:rsidTr="00E50B59">
        <w:tc>
          <w:tcPr>
            <w:tcW w:w="7479" w:type="dxa"/>
          </w:tcPr>
          <w:p w:rsidR="0088775D" w:rsidRPr="00E50B59" w:rsidRDefault="00E50B59">
            <w:pPr>
              <w:rPr>
                <w:b/>
                <w:i/>
              </w:rPr>
            </w:pPr>
            <w:r w:rsidRPr="00E50B59">
              <w:rPr>
                <w:b/>
                <w:i/>
              </w:rPr>
              <w:t>Максимальный балл</w:t>
            </w:r>
          </w:p>
        </w:tc>
        <w:tc>
          <w:tcPr>
            <w:tcW w:w="2092" w:type="dxa"/>
          </w:tcPr>
          <w:p w:rsidR="0088775D" w:rsidRPr="00E50B59" w:rsidRDefault="00F8117A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E50B59" w:rsidRPr="00E50B59">
              <w:rPr>
                <w:b/>
                <w:i/>
              </w:rPr>
              <w:t xml:space="preserve"> баллов</w:t>
            </w:r>
          </w:p>
        </w:tc>
      </w:tr>
    </w:tbl>
    <w:p w:rsidR="0088775D" w:rsidRDefault="0088775D"/>
    <w:sectPr w:rsidR="0088775D" w:rsidSect="00F0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autoHyphenation/>
  <w:characterSpacingControl w:val="doNotCompress"/>
  <w:compat/>
  <w:rsids>
    <w:rsidRoot w:val="0088775D"/>
    <w:rsid w:val="00022A6A"/>
    <w:rsid w:val="0032484C"/>
    <w:rsid w:val="003B78D6"/>
    <w:rsid w:val="003F327F"/>
    <w:rsid w:val="00401415"/>
    <w:rsid w:val="00461750"/>
    <w:rsid w:val="00464942"/>
    <w:rsid w:val="00586201"/>
    <w:rsid w:val="00593445"/>
    <w:rsid w:val="00695B2E"/>
    <w:rsid w:val="006A6368"/>
    <w:rsid w:val="006B3373"/>
    <w:rsid w:val="006D1EC0"/>
    <w:rsid w:val="006D2F5D"/>
    <w:rsid w:val="006E29D2"/>
    <w:rsid w:val="0074206E"/>
    <w:rsid w:val="007F5F14"/>
    <w:rsid w:val="00852469"/>
    <w:rsid w:val="0088775D"/>
    <w:rsid w:val="008B3EE8"/>
    <w:rsid w:val="009A3540"/>
    <w:rsid w:val="009C471B"/>
    <w:rsid w:val="00A74D9F"/>
    <w:rsid w:val="00B72D0A"/>
    <w:rsid w:val="00C458B0"/>
    <w:rsid w:val="00C56F85"/>
    <w:rsid w:val="00D146E7"/>
    <w:rsid w:val="00D45E1F"/>
    <w:rsid w:val="00D52F51"/>
    <w:rsid w:val="00E50B59"/>
    <w:rsid w:val="00EA1E5A"/>
    <w:rsid w:val="00ED0070"/>
    <w:rsid w:val="00EF3E70"/>
    <w:rsid w:val="00EF4DD7"/>
    <w:rsid w:val="00F0799E"/>
    <w:rsid w:val="00F8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1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eastAsia="Times New Roman" w:hAnsi="Cambria"/>
      <w:b/>
      <w:bCs/>
      <w:sz w:val="26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59"/>
    <w:rsid w:val="008877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75D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8877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50;_&#1057;&#1055;&#1054;\&#1052;&#1099;\&#1054;&#1048;-&#1055;&#1048;\&#1043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ndard"/>
        <c:ser>
          <c:idx val="0"/>
          <c:order val="0"/>
          <c:val>
            <c:numRef>
              <c:f>Лист1!$B$1:$B$12</c:f>
              <c:numCache>
                <c:formatCode>General</c:formatCode>
                <c:ptCount val="12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100</c:v>
                </c:pt>
                <c:pt idx="7">
                  <c:v>9</c:v>
                </c:pt>
                <c:pt idx="8">
                  <c:v>100</c:v>
                </c:pt>
                <c:pt idx="9">
                  <c:v>10</c:v>
                </c:pt>
                <c:pt idx="10">
                  <c:v>50</c:v>
                </c:pt>
                <c:pt idx="11">
                  <c:v>50</c:v>
                </c:pt>
              </c:numCache>
            </c:numRef>
          </c:val>
        </c:ser>
        <c:axId val="130521728"/>
        <c:axId val="130523520"/>
      </c:areaChart>
      <c:catAx>
        <c:axId val="130521728"/>
        <c:scaling>
          <c:orientation val="minMax"/>
        </c:scaling>
        <c:axPos val="b"/>
        <c:tickLblPos val="nextTo"/>
        <c:crossAx val="130523520"/>
        <c:crosses val="autoZero"/>
        <c:auto val="1"/>
        <c:lblAlgn val="ctr"/>
        <c:lblOffset val="100"/>
      </c:catAx>
      <c:valAx>
        <c:axId val="130523520"/>
        <c:scaling>
          <c:orientation val="minMax"/>
        </c:scaling>
        <c:axPos val="l"/>
        <c:majorGridlines/>
        <c:numFmt formatCode="General" sourceLinked="1"/>
        <c:tickLblPos val="nextTo"/>
        <c:crossAx val="130521728"/>
        <c:crosses val="autoZero"/>
        <c:crossBetween val="midCat"/>
      </c:valAx>
    </c:plotArea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Лист1!$B$149:$B$160</c:f>
              <c:numCache>
                <c:formatCode>General</c:formatCode>
                <c:ptCount val="12"/>
                <c:pt idx="0">
                  <c:v>100</c:v>
                </c:pt>
                <c:pt idx="1">
                  <c:v>99</c:v>
                </c:pt>
                <c:pt idx="2">
                  <c:v>99</c:v>
                </c:pt>
                <c:pt idx="3">
                  <c:v>99</c:v>
                </c:pt>
                <c:pt idx="4">
                  <c:v>99</c:v>
                </c:pt>
                <c:pt idx="5">
                  <c:v>25</c:v>
                </c:pt>
                <c:pt idx="6">
                  <c:v>23</c:v>
                </c:pt>
                <c:pt idx="7">
                  <c:v>20</c:v>
                </c:pt>
                <c:pt idx="8">
                  <c:v>17</c:v>
                </c:pt>
                <c:pt idx="9">
                  <c:v>13.5</c:v>
                </c:pt>
                <c:pt idx="10">
                  <c:v>9.5</c:v>
                </c:pt>
                <c:pt idx="11">
                  <c:v>7</c:v>
                </c:pt>
              </c:numCache>
            </c:numRef>
          </c:val>
        </c:ser>
        <c:axId val="151914752"/>
        <c:axId val="151920640"/>
      </c:areaChart>
      <c:catAx>
        <c:axId val="151914752"/>
        <c:scaling>
          <c:orientation val="minMax"/>
        </c:scaling>
        <c:axPos val="b"/>
        <c:tickLblPos val="nextTo"/>
        <c:crossAx val="151920640"/>
        <c:crosses val="autoZero"/>
        <c:auto val="1"/>
        <c:lblAlgn val="ctr"/>
        <c:lblOffset val="100"/>
      </c:catAx>
      <c:valAx>
        <c:axId val="151920640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51914752"/>
        <c:crosses val="autoZero"/>
        <c:crossBetween val="midCat"/>
        <c:majorUnit val="50"/>
      </c:valAx>
    </c:plotArea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Лист1!$B$163:$B$174</c:f>
              <c:numCache>
                <c:formatCode>General</c:formatCode>
                <c:ptCount val="12"/>
                <c:pt idx="0">
                  <c:v>120</c:v>
                </c:pt>
                <c:pt idx="1">
                  <c:v>50</c:v>
                </c:pt>
                <c:pt idx="2">
                  <c:v>30</c:v>
                </c:pt>
                <c:pt idx="3">
                  <c:v>70</c:v>
                </c:pt>
                <c:pt idx="4">
                  <c:v>35</c:v>
                </c:pt>
                <c:pt idx="5">
                  <c:v>20</c:v>
                </c:pt>
                <c:pt idx="6">
                  <c:v>100</c:v>
                </c:pt>
                <c:pt idx="7">
                  <c:v>120</c:v>
                </c:pt>
                <c:pt idx="8">
                  <c:v>140</c:v>
                </c:pt>
                <c:pt idx="9">
                  <c:v>160</c:v>
                </c:pt>
                <c:pt idx="10">
                  <c:v>200</c:v>
                </c:pt>
                <c:pt idx="11">
                  <c:v>230</c:v>
                </c:pt>
              </c:numCache>
            </c:numRef>
          </c:val>
        </c:ser>
        <c:axId val="151939712"/>
        <c:axId val="151945600"/>
      </c:areaChart>
      <c:catAx>
        <c:axId val="151939712"/>
        <c:scaling>
          <c:orientation val="minMax"/>
        </c:scaling>
        <c:axPos val="b"/>
        <c:tickLblPos val="nextTo"/>
        <c:crossAx val="151945600"/>
        <c:crosses val="autoZero"/>
        <c:auto val="1"/>
        <c:lblAlgn val="ctr"/>
        <c:lblOffset val="100"/>
      </c:catAx>
      <c:valAx>
        <c:axId val="151945600"/>
        <c:scaling>
          <c:orientation val="minMax"/>
          <c:max val="300"/>
        </c:scaling>
        <c:axPos val="l"/>
        <c:majorGridlines/>
        <c:numFmt formatCode="General" sourceLinked="1"/>
        <c:tickLblPos val="nextTo"/>
        <c:crossAx val="151939712"/>
        <c:crosses val="autoZero"/>
        <c:crossBetween val="midCat"/>
        <c:majorUnit val="100"/>
      </c:valAx>
    </c:plotArea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Лист1!$B$178:$B$189</c:f>
              <c:numCache>
                <c:formatCode>General</c:formatCode>
                <c:ptCount val="12"/>
                <c:pt idx="0">
                  <c:v>7</c:v>
                </c:pt>
                <c:pt idx="1">
                  <c:v>12</c:v>
                </c:pt>
                <c:pt idx="2">
                  <c:v>10</c:v>
                </c:pt>
                <c:pt idx="3">
                  <c:v>20</c:v>
                </c:pt>
                <c:pt idx="4">
                  <c:v>15</c:v>
                </c:pt>
                <c:pt idx="5">
                  <c:v>30</c:v>
                </c:pt>
                <c:pt idx="6">
                  <c:v>20</c:v>
                </c:pt>
                <c:pt idx="7">
                  <c:v>35</c:v>
                </c:pt>
                <c:pt idx="8">
                  <c:v>25</c:v>
                </c:pt>
                <c:pt idx="9">
                  <c:v>40</c:v>
                </c:pt>
                <c:pt idx="10">
                  <c:v>30</c:v>
                </c:pt>
                <c:pt idx="11">
                  <c:v>50</c:v>
                </c:pt>
              </c:numCache>
            </c:numRef>
          </c:val>
        </c:ser>
        <c:axId val="151956480"/>
        <c:axId val="151991040"/>
      </c:areaChart>
      <c:catAx>
        <c:axId val="151956480"/>
        <c:scaling>
          <c:orientation val="minMax"/>
        </c:scaling>
        <c:axPos val="b"/>
        <c:tickLblPos val="nextTo"/>
        <c:crossAx val="151991040"/>
        <c:crosses val="autoZero"/>
        <c:auto val="1"/>
        <c:lblAlgn val="ctr"/>
        <c:lblOffset val="100"/>
      </c:catAx>
      <c:valAx>
        <c:axId val="151991040"/>
        <c:scaling>
          <c:orientation val="minMax"/>
          <c:max val="50"/>
        </c:scaling>
        <c:axPos val="l"/>
        <c:majorGridlines/>
        <c:numFmt formatCode="General" sourceLinked="1"/>
        <c:tickLblPos val="nextTo"/>
        <c:crossAx val="151956480"/>
        <c:crosses val="autoZero"/>
        <c:crossBetween val="midCat"/>
        <c:majorUnit val="10"/>
      </c:valAx>
    </c:plotArea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Лист1!$B$192:$B$203</c:f>
              <c:numCache>
                <c:formatCode>General</c:formatCode>
                <c:ptCount val="12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60</c:v>
                </c:pt>
                <c:pt idx="4">
                  <c:v>100</c:v>
                </c:pt>
                <c:pt idx="5">
                  <c:v>50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</c:numCache>
            </c:numRef>
          </c:val>
        </c:ser>
        <c:axId val="152001920"/>
        <c:axId val="152011904"/>
      </c:areaChart>
      <c:catAx>
        <c:axId val="152001920"/>
        <c:scaling>
          <c:orientation val="minMax"/>
        </c:scaling>
        <c:axPos val="b"/>
        <c:tickLblPos val="nextTo"/>
        <c:crossAx val="152011904"/>
        <c:crosses val="autoZero"/>
        <c:auto val="1"/>
        <c:lblAlgn val="ctr"/>
        <c:lblOffset val="100"/>
      </c:catAx>
      <c:valAx>
        <c:axId val="152011904"/>
        <c:scaling>
          <c:orientation val="minMax"/>
          <c:max val="150"/>
        </c:scaling>
        <c:axPos val="l"/>
        <c:majorGridlines/>
        <c:numFmt formatCode="General" sourceLinked="1"/>
        <c:tickLblPos val="nextTo"/>
        <c:crossAx val="152001920"/>
        <c:crosses val="autoZero"/>
        <c:crossBetween val="midCat"/>
        <c:majorUnit val="50"/>
      </c:valAx>
    </c:plotArea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Лист1!$B$206:$B$217</c:f>
              <c:numCache>
                <c:formatCode>General</c:formatCode>
                <c:ptCount val="12"/>
                <c:pt idx="0">
                  <c:v>0</c:v>
                </c:pt>
                <c:pt idx="1">
                  <c:v>50</c:v>
                </c:pt>
                <c:pt idx="2">
                  <c:v>25</c:v>
                </c:pt>
                <c:pt idx="3">
                  <c:v>200</c:v>
                </c:pt>
                <c:pt idx="4">
                  <c:v>25</c:v>
                </c:pt>
                <c:pt idx="5">
                  <c:v>250</c:v>
                </c:pt>
                <c:pt idx="6">
                  <c:v>50</c:v>
                </c:pt>
                <c:pt idx="7">
                  <c:v>65</c:v>
                </c:pt>
                <c:pt idx="8">
                  <c:v>75</c:v>
                </c:pt>
                <c:pt idx="9">
                  <c:v>85</c:v>
                </c:pt>
                <c:pt idx="10">
                  <c:v>75</c:v>
                </c:pt>
                <c:pt idx="11">
                  <c:v>65</c:v>
                </c:pt>
              </c:numCache>
            </c:numRef>
          </c:val>
        </c:ser>
        <c:axId val="152023040"/>
        <c:axId val="152024576"/>
      </c:areaChart>
      <c:catAx>
        <c:axId val="152023040"/>
        <c:scaling>
          <c:orientation val="minMax"/>
        </c:scaling>
        <c:axPos val="b"/>
        <c:tickLblPos val="nextTo"/>
        <c:crossAx val="152024576"/>
        <c:crosses val="autoZero"/>
        <c:auto val="1"/>
        <c:lblAlgn val="ctr"/>
        <c:lblOffset val="100"/>
      </c:catAx>
      <c:valAx>
        <c:axId val="152024576"/>
        <c:scaling>
          <c:orientation val="minMax"/>
        </c:scaling>
        <c:axPos val="l"/>
        <c:majorGridlines/>
        <c:numFmt formatCode="General" sourceLinked="1"/>
        <c:tickLblPos val="nextTo"/>
        <c:crossAx val="152023040"/>
        <c:crosses val="autoZero"/>
        <c:crossBetween val="midCat"/>
        <c:majorUnit val="100"/>
      </c:valAx>
    </c:plotArea>
    <c:plotVisOnly val="1"/>
    <c:dispBlanksAs val="zero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Лист1!$B$221:$B$232</c:f>
              <c:numCache>
                <c:formatCode>General</c:formatCode>
                <c:ptCount val="12"/>
                <c:pt idx="0">
                  <c:v>100</c:v>
                </c:pt>
                <c:pt idx="1">
                  <c:v>60</c:v>
                </c:pt>
                <c:pt idx="2">
                  <c:v>95</c:v>
                </c:pt>
                <c:pt idx="3">
                  <c:v>50</c:v>
                </c:pt>
                <c:pt idx="4">
                  <c:v>85</c:v>
                </c:pt>
                <c:pt idx="5">
                  <c:v>40</c:v>
                </c:pt>
                <c:pt idx="6">
                  <c:v>70</c:v>
                </c:pt>
                <c:pt idx="7">
                  <c:v>35</c:v>
                </c:pt>
                <c:pt idx="8">
                  <c:v>60</c:v>
                </c:pt>
                <c:pt idx="9">
                  <c:v>20</c:v>
                </c:pt>
                <c:pt idx="10">
                  <c:v>50</c:v>
                </c:pt>
                <c:pt idx="11">
                  <c:v>20</c:v>
                </c:pt>
              </c:numCache>
            </c:numRef>
          </c:val>
        </c:ser>
        <c:axId val="152035712"/>
        <c:axId val="152037248"/>
      </c:areaChart>
      <c:catAx>
        <c:axId val="152035712"/>
        <c:scaling>
          <c:orientation val="minMax"/>
        </c:scaling>
        <c:axPos val="b"/>
        <c:tickLblPos val="nextTo"/>
        <c:crossAx val="152037248"/>
        <c:crosses val="autoZero"/>
        <c:auto val="1"/>
        <c:lblAlgn val="ctr"/>
        <c:lblOffset val="100"/>
      </c:catAx>
      <c:valAx>
        <c:axId val="152037248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52035712"/>
        <c:crosses val="autoZero"/>
        <c:crossBetween val="midCat"/>
        <c:majorUnit val="20"/>
      </c:valAx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Лист1!$B$17:$B$28</c:f>
              <c:numCache>
                <c:formatCode>General</c:formatCode>
                <c:ptCount val="12"/>
                <c:pt idx="0">
                  <c:v>100</c:v>
                </c:pt>
                <c:pt idx="1">
                  <c:v>93.4</c:v>
                </c:pt>
                <c:pt idx="2">
                  <c:v>86.8</c:v>
                </c:pt>
                <c:pt idx="3">
                  <c:v>80.2</c:v>
                </c:pt>
                <c:pt idx="4">
                  <c:v>73.599999999999994</c:v>
                </c:pt>
                <c:pt idx="5">
                  <c:v>67</c:v>
                </c:pt>
                <c:pt idx="6">
                  <c:v>60.4</c:v>
                </c:pt>
                <c:pt idx="7">
                  <c:v>53.8</c:v>
                </c:pt>
                <c:pt idx="8">
                  <c:v>47.2</c:v>
                </c:pt>
                <c:pt idx="9">
                  <c:v>40.6</c:v>
                </c:pt>
                <c:pt idx="10">
                  <c:v>34</c:v>
                </c:pt>
                <c:pt idx="11">
                  <c:v>27.4</c:v>
                </c:pt>
              </c:numCache>
            </c:numRef>
          </c:val>
        </c:ser>
        <c:axId val="132975616"/>
        <c:axId val="139473664"/>
      </c:areaChart>
      <c:catAx>
        <c:axId val="132975616"/>
        <c:scaling>
          <c:orientation val="minMax"/>
        </c:scaling>
        <c:axPos val="b"/>
        <c:tickLblPos val="nextTo"/>
        <c:crossAx val="139473664"/>
        <c:crosses val="autoZero"/>
        <c:auto val="1"/>
        <c:lblAlgn val="ctr"/>
        <c:lblOffset val="100"/>
      </c:catAx>
      <c:valAx>
        <c:axId val="13947366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32975616"/>
        <c:crosses val="autoZero"/>
        <c:crossBetween val="midCat"/>
        <c:majorUnit val="20"/>
      </c:valAx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Лист1!$B$33:$B$44</c:f>
              <c:numCache>
                <c:formatCode>General</c:formatCode>
                <c:ptCount val="12"/>
                <c:pt idx="0">
                  <c:v>100</c:v>
                </c:pt>
                <c:pt idx="1">
                  <c:v>10</c:v>
                </c:pt>
                <c:pt idx="2">
                  <c:v>70</c:v>
                </c:pt>
                <c:pt idx="3">
                  <c:v>25</c:v>
                </c:pt>
                <c:pt idx="4">
                  <c:v>60</c:v>
                </c:pt>
                <c:pt idx="5">
                  <c:v>10</c:v>
                </c:pt>
                <c:pt idx="6">
                  <c:v>90</c:v>
                </c:pt>
                <c:pt idx="7">
                  <c:v>20</c:v>
                </c:pt>
                <c:pt idx="8">
                  <c:v>95</c:v>
                </c:pt>
                <c:pt idx="9">
                  <c:v>30</c:v>
                </c:pt>
                <c:pt idx="10">
                  <c:v>5</c:v>
                </c:pt>
                <c:pt idx="11">
                  <c:v>100</c:v>
                </c:pt>
              </c:numCache>
            </c:numRef>
          </c:val>
        </c:ser>
        <c:axId val="139517312"/>
        <c:axId val="139519104"/>
      </c:areaChart>
      <c:catAx>
        <c:axId val="139517312"/>
        <c:scaling>
          <c:orientation val="minMax"/>
        </c:scaling>
        <c:axPos val="b"/>
        <c:tickLblPos val="nextTo"/>
        <c:crossAx val="139519104"/>
        <c:crosses val="autoZero"/>
        <c:auto val="1"/>
        <c:lblAlgn val="ctr"/>
        <c:lblOffset val="100"/>
      </c:catAx>
      <c:valAx>
        <c:axId val="13951910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39517312"/>
        <c:crosses val="autoZero"/>
        <c:crossBetween val="midCat"/>
        <c:majorUnit val="20"/>
      </c:valAx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Лист1!$B$48:$B$59</c:f>
              <c:numCache>
                <c:formatCode>General</c:formatCode>
                <c:ptCount val="12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60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60</c:v>
                </c:pt>
                <c:pt idx="9">
                  <c:v>50</c:v>
                </c:pt>
                <c:pt idx="10">
                  <c:v>50</c:v>
                </c:pt>
                <c:pt idx="11">
                  <c:v>50</c:v>
                </c:pt>
              </c:numCache>
            </c:numRef>
          </c:val>
        </c:ser>
        <c:axId val="139800576"/>
        <c:axId val="139802112"/>
      </c:areaChart>
      <c:catAx>
        <c:axId val="139800576"/>
        <c:scaling>
          <c:orientation val="minMax"/>
        </c:scaling>
        <c:axPos val="b"/>
        <c:tickLblPos val="nextTo"/>
        <c:crossAx val="139802112"/>
        <c:crosses val="autoZero"/>
        <c:auto val="1"/>
        <c:lblAlgn val="ctr"/>
        <c:lblOffset val="100"/>
      </c:catAx>
      <c:valAx>
        <c:axId val="139802112"/>
        <c:scaling>
          <c:orientation val="minMax"/>
          <c:max val="80"/>
        </c:scaling>
        <c:axPos val="l"/>
        <c:majorGridlines/>
        <c:numFmt formatCode="General" sourceLinked="1"/>
        <c:tickLblPos val="nextTo"/>
        <c:crossAx val="139800576"/>
        <c:crosses val="autoZero"/>
        <c:crossBetween val="midCat"/>
        <c:majorUnit val="20"/>
      </c:valAx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Лист1!$B$77:$B$88</c:f>
              <c:numCache>
                <c:formatCode>General</c:formatCode>
                <c:ptCount val="12"/>
                <c:pt idx="0">
                  <c:v>100</c:v>
                </c:pt>
                <c:pt idx="1">
                  <c:v>90</c:v>
                </c:pt>
                <c:pt idx="2">
                  <c:v>80</c:v>
                </c:pt>
                <c:pt idx="3">
                  <c:v>70</c:v>
                </c:pt>
                <c:pt idx="4">
                  <c:v>60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95</c:v>
                </c:pt>
                <c:pt idx="11">
                  <c:v>100</c:v>
                </c:pt>
              </c:numCache>
            </c:numRef>
          </c:val>
        </c:ser>
        <c:axId val="140407168"/>
        <c:axId val="140408704"/>
      </c:areaChart>
      <c:catAx>
        <c:axId val="140407168"/>
        <c:scaling>
          <c:orientation val="minMax"/>
        </c:scaling>
        <c:axPos val="b"/>
        <c:tickLblPos val="nextTo"/>
        <c:crossAx val="140408704"/>
        <c:crosses val="autoZero"/>
        <c:auto val="1"/>
        <c:lblAlgn val="ctr"/>
        <c:lblOffset val="100"/>
      </c:catAx>
      <c:valAx>
        <c:axId val="14040870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40407168"/>
        <c:crosses val="autoZero"/>
        <c:crossBetween val="midCat"/>
        <c:majorUnit val="20"/>
      </c:valAx>
    </c:plotArea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Лист1!$B$92:$B$103</c:f>
              <c:numCache>
                <c:formatCode>General</c:formatCode>
                <c:ptCount val="12"/>
                <c:pt idx="0">
                  <c:v>5</c:v>
                </c:pt>
                <c:pt idx="1">
                  <c:v>14</c:v>
                </c:pt>
                <c:pt idx="2">
                  <c:v>20.6</c:v>
                </c:pt>
                <c:pt idx="3">
                  <c:v>27.2</c:v>
                </c:pt>
                <c:pt idx="4">
                  <c:v>33.800000000000004</c:v>
                </c:pt>
                <c:pt idx="5">
                  <c:v>40.4</c:v>
                </c:pt>
                <c:pt idx="6">
                  <c:v>47</c:v>
                </c:pt>
                <c:pt idx="7">
                  <c:v>53.6</c:v>
                </c:pt>
                <c:pt idx="8">
                  <c:v>60.2</c:v>
                </c:pt>
                <c:pt idx="9">
                  <c:v>66.8</c:v>
                </c:pt>
                <c:pt idx="10">
                  <c:v>73.400000000000006</c:v>
                </c:pt>
                <c:pt idx="11">
                  <c:v>80</c:v>
                </c:pt>
              </c:numCache>
            </c:numRef>
          </c:val>
        </c:ser>
        <c:axId val="140423936"/>
        <c:axId val="140425472"/>
      </c:areaChart>
      <c:catAx>
        <c:axId val="140423936"/>
        <c:scaling>
          <c:orientation val="minMax"/>
        </c:scaling>
        <c:axPos val="b"/>
        <c:tickLblPos val="nextTo"/>
        <c:crossAx val="140425472"/>
        <c:crosses val="autoZero"/>
        <c:auto val="1"/>
        <c:lblAlgn val="ctr"/>
        <c:lblOffset val="100"/>
      </c:catAx>
      <c:valAx>
        <c:axId val="140425472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140423936"/>
        <c:crosses val="autoZero"/>
        <c:crossBetween val="midCat"/>
        <c:majorUnit val="20"/>
      </c:valAx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Лист1!$B$106:$B$117</c:f>
              <c:numCache>
                <c:formatCode>General</c:formatCode>
                <c:ptCount val="12"/>
                <c:pt idx="0">
                  <c:v>25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60</c:v>
                </c:pt>
                <c:pt idx="6">
                  <c:v>65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95</c:v>
                </c:pt>
                <c:pt idx="11">
                  <c:v>100</c:v>
                </c:pt>
              </c:numCache>
            </c:numRef>
          </c:val>
        </c:ser>
        <c:axId val="141300864"/>
        <c:axId val="141302400"/>
      </c:areaChart>
      <c:catAx>
        <c:axId val="141300864"/>
        <c:scaling>
          <c:orientation val="minMax"/>
        </c:scaling>
        <c:axPos val="b"/>
        <c:tickLblPos val="nextTo"/>
        <c:crossAx val="141302400"/>
        <c:crosses val="autoZero"/>
        <c:auto val="1"/>
        <c:lblAlgn val="ctr"/>
        <c:lblOffset val="100"/>
      </c:catAx>
      <c:valAx>
        <c:axId val="141302400"/>
        <c:scaling>
          <c:orientation val="minMax"/>
          <c:max val="150"/>
        </c:scaling>
        <c:axPos val="l"/>
        <c:majorGridlines/>
        <c:numFmt formatCode="General" sourceLinked="1"/>
        <c:tickLblPos val="nextTo"/>
        <c:crossAx val="141300864"/>
        <c:crosses val="autoZero"/>
        <c:crossBetween val="midCat"/>
        <c:majorUnit val="50"/>
      </c:valAx>
    </c:plotArea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Лист1!$B$121:$B$132</c:f>
              <c:numCache>
                <c:formatCode>General</c:formatCode>
                <c:ptCount val="12"/>
                <c:pt idx="0">
                  <c:v>50</c:v>
                </c:pt>
                <c:pt idx="1">
                  <c:v>52.5</c:v>
                </c:pt>
                <c:pt idx="2">
                  <c:v>55</c:v>
                </c:pt>
                <c:pt idx="3">
                  <c:v>30</c:v>
                </c:pt>
                <c:pt idx="4">
                  <c:v>54</c:v>
                </c:pt>
                <c:pt idx="5">
                  <c:v>53</c:v>
                </c:pt>
                <c:pt idx="6">
                  <c:v>52</c:v>
                </c:pt>
                <c:pt idx="7">
                  <c:v>51</c:v>
                </c:pt>
                <c:pt idx="8">
                  <c:v>35</c:v>
                </c:pt>
                <c:pt idx="9">
                  <c:v>42</c:v>
                </c:pt>
                <c:pt idx="10">
                  <c:v>41</c:v>
                </c:pt>
                <c:pt idx="11">
                  <c:v>40</c:v>
                </c:pt>
              </c:numCache>
            </c:numRef>
          </c:val>
        </c:ser>
        <c:axId val="141334016"/>
        <c:axId val="141335552"/>
      </c:areaChart>
      <c:catAx>
        <c:axId val="141334016"/>
        <c:scaling>
          <c:orientation val="minMax"/>
        </c:scaling>
        <c:axPos val="b"/>
        <c:tickLblPos val="nextTo"/>
        <c:crossAx val="141335552"/>
        <c:crosses val="autoZero"/>
        <c:auto val="1"/>
        <c:lblAlgn val="ctr"/>
        <c:lblOffset val="100"/>
      </c:catAx>
      <c:valAx>
        <c:axId val="141335552"/>
        <c:scaling>
          <c:orientation val="minMax"/>
          <c:max val="60"/>
        </c:scaling>
        <c:axPos val="l"/>
        <c:majorGridlines/>
        <c:numFmt formatCode="General" sourceLinked="1"/>
        <c:tickLblPos val="nextTo"/>
        <c:crossAx val="141334016"/>
        <c:crosses val="autoZero"/>
        <c:crossBetween val="midCat"/>
        <c:majorUnit val="20"/>
      </c:valAx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areaChart>
        <c:grouping val="stacked"/>
        <c:ser>
          <c:idx val="0"/>
          <c:order val="0"/>
          <c:val>
            <c:numRef>
              <c:f>Лист1!$B$135:$B$146</c:f>
              <c:numCache>
                <c:formatCode>General</c:formatCode>
                <c:ptCount val="12"/>
                <c:pt idx="0">
                  <c:v>50</c:v>
                </c:pt>
                <c:pt idx="1">
                  <c:v>51</c:v>
                </c:pt>
                <c:pt idx="2">
                  <c:v>52</c:v>
                </c:pt>
                <c:pt idx="3">
                  <c:v>52.5</c:v>
                </c:pt>
                <c:pt idx="4">
                  <c:v>52</c:v>
                </c:pt>
                <c:pt idx="5">
                  <c:v>52</c:v>
                </c:pt>
                <c:pt idx="6">
                  <c:v>51.5</c:v>
                </c:pt>
                <c:pt idx="7">
                  <c:v>51</c:v>
                </c:pt>
                <c:pt idx="8">
                  <c:v>50</c:v>
                </c:pt>
                <c:pt idx="9">
                  <c:v>49.5</c:v>
                </c:pt>
                <c:pt idx="10">
                  <c:v>49</c:v>
                </c:pt>
                <c:pt idx="11">
                  <c:v>49</c:v>
                </c:pt>
              </c:numCache>
            </c:numRef>
          </c:val>
        </c:ser>
        <c:axId val="149272448"/>
        <c:axId val="149273984"/>
      </c:areaChart>
      <c:catAx>
        <c:axId val="149272448"/>
        <c:scaling>
          <c:orientation val="minMax"/>
        </c:scaling>
        <c:axPos val="b"/>
        <c:tickLblPos val="nextTo"/>
        <c:crossAx val="149273984"/>
        <c:crosses val="autoZero"/>
        <c:auto val="1"/>
        <c:lblAlgn val="ctr"/>
        <c:lblOffset val="100"/>
      </c:catAx>
      <c:valAx>
        <c:axId val="149273984"/>
        <c:scaling>
          <c:orientation val="minMax"/>
          <c:max val="60"/>
        </c:scaling>
        <c:axPos val="l"/>
        <c:majorGridlines/>
        <c:numFmt formatCode="General" sourceLinked="1"/>
        <c:tickLblPos val="nextTo"/>
        <c:crossAx val="149272448"/>
        <c:crosses val="autoZero"/>
        <c:crossBetween val="midCat"/>
        <c:majorUnit val="20"/>
      </c:valAx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2016-04-20T10:33:00Z</dcterms:created>
  <dcterms:modified xsi:type="dcterms:W3CDTF">2016-04-20T10:33:00Z</dcterms:modified>
</cp:coreProperties>
</file>