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C3" w:rsidRPr="00A8573A" w:rsidRDefault="00A8573A" w:rsidP="00A8573A">
      <w:pPr>
        <w:ind w:firstLine="0"/>
      </w:pPr>
      <w:r>
        <w:t xml:space="preserve">Универсальный бланк для оценки групповой работы. Уровни </w:t>
      </w:r>
      <w:r>
        <w:rPr>
          <w:lang w:val="en-US"/>
        </w:rPr>
        <w:t>I</w:t>
      </w:r>
      <w:r w:rsidRPr="00A8573A">
        <w:t>-</w:t>
      </w:r>
      <w:r>
        <w:rPr>
          <w:lang w:val="en-US"/>
        </w:rPr>
        <w:t>III</w:t>
      </w:r>
      <w:r w:rsidRPr="00A8573A">
        <w:t>.</w:t>
      </w:r>
    </w:p>
    <w:p w:rsidR="00A8573A" w:rsidRDefault="00A8573A" w:rsidP="00A8573A">
      <w:pPr>
        <w:ind w:firstLine="0"/>
      </w:pPr>
      <w:r>
        <w:t>(строки для оценки меры достижения личного результата следует добавлять, если помимо общего группового задания каждый участник получил персональное задание)</w:t>
      </w:r>
    </w:p>
    <w:p w:rsidR="00A8573A" w:rsidRDefault="00A8573A" w:rsidP="00A8573A">
      <w:pPr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245"/>
        <w:gridCol w:w="765"/>
        <w:gridCol w:w="765"/>
        <w:gridCol w:w="766"/>
        <w:gridCol w:w="765"/>
        <w:gridCol w:w="766"/>
      </w:tblGrid>
      <w:tr w:rsidR="00F235C3" w:rsidRPr="00A8573A" w:rsidTr="00F235C3">
        <w:tc>
          <w:tcPr>
            <w:tcW w:w="817" w:type="dxa"/>
            <w:vMerge w:val="restart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>
              <w:rPr>
                <w:rFonts w:eastAsia="Calibri"/>
                <w:snapToGrid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F235C3" w:rsidRPr="00A8573A" w:rsidRDefault="00F235C3" w:rsidP="00F235C3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Критерии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0"/>
                <w:lang w:eastAsia="en-US"/>
              </w:rPr>
            </w:pPr>
            <w:r w:rsidRPr="00A8573A">
              <w:rPr>
                <w:rFonts w:eastAsia="Calibri"/>
                <w:snapToGrid/>
                <w:sz w:val="20"/>
                <w:lang w:eastAsia="en-US"/>
              </w:rPr>
              <w:t>Обучающиеся</w:t>
            </w: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b/>
                <w:snapToGrid/>
                <w:sz w:val="20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0"/>
                <w:lang w:eastAsia="en-US"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b/>
                <w:snapToGrid/>
                <w:sz w:val="20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0"/>
                <w:lang w:eastAsia="en-US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b/>
                <w:snapToGrid/>
                <w:sz w:val="20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0"/>
                <w:lang w:eastAsia="en-US"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b/>
                <w:snapToGrid/>
                <w:sz w:val="20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0"/>
                <w:lang w:eastAsia="en-US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F235C3" w:rsidRPr="00A8573A" w:rsidRDefault="00F235C3" w:rsidP="00A8573A">
            <w:pPr>
              <w:spacing w:line="240" w:lineRule="auto"/>
              <w:ind w:firstLine="0"/>
              <w:jc w:val="center"/>
              <w:rPr>
                <w:rFonts w:eastAsia="Calibri"/>
                <w:b/>
                <w:snapToGrid/>
                <w:sz w:val="20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0"/>
                <w:lang w:eastAsia="en-US"/>
              </w:rPr>
              <w:t>5</w:t>
            </w: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18"/>
                <w:szCs w:val="18"/>
                <w:lang w:eastAsia="en-US"/>
              </w:rPr>
            </w:pPr>
            <w:r w:rsidRPr="00F235C3">
              <w:rPr>
                <w:rFonts w:eastAsia="Calibri"/>
                <w:snapToGrid/>
                <w:sz w:val="18"/>
                <w:szCs w:val="18"/>
                <w:lang w:eastAsia="en-US"/>
              </w:rPr>
              <w:t>допуск</w:t>
            </w:r>
          </w:p>
        </w:tc>
        <w:tc>
          <w:tcPr>
            <w:tcW w:w="524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Содержательно участвует в работе</w:t>
            </w:r>
          </w:p>
        </w:tc>
        <w:tc>
          <w:tcPr>
            <w:tcW w:w="76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Выполняет прямые поручения</w:t>
            </w:r>
          </w:p>
        </w:tc>
        <w:tc>
          <w:tcPr>
            <w:tcW w:w="76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Нарушает процедуру, уводит обсуждение в сторону от поставленных вопросов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Следует процедуре или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br/>
              <w:t>соблюдает культурную норму обсуждения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Предлагает процедуру, элементы процедуры, 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br/>
              <w:t>вопросы для обсуждения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Возвращает группу к процедуре или к вопросу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Ведет обсуждение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Следит за регламентом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Резюмирует результаты \ промежуточные 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br/>
              <w:t>результаты обсуждения в соответствии с целью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Апеллирует к промежуточным результатам обсу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ж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дения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Констатирует неэффективность процедуры или ошибку в постановке вопроса для обсуждения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Предлагает процедурные способы разрешения 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br/>
              <w:t>противоречия в позициях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Предлагает выход из тупика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shd w:val="clear" w:color="auto" w:fill="BFBFB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524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6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6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Предлагает идею, соответствующую цели обсужд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е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Принимает</w:t>
            </w:r>
            <w:proofErr w:type="gramEnd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 / отвергает идею без объяснений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D936E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Продавливает свою позицию, переходя на личности, </w:t>
            </w:r>
            <w:r w:rsidR="00D936EA">
              <w:rPr>
                <w:rFonts w:eastAsia="Calibri"/>
                <w:snapToGrid/>
                <w:sz w:val="22"/>
                <w:szCs w:val="22"/>
                <w:lang w:eastAsia="en-US"/>
              </w:rPr>
              <w:t>используя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 некоммуникативные средства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Предлагает идею, объясняя / аргументируя</w:t>
            </w:r>
            <w:proofErr w:type="gramEnd"/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Объясняет</w:t>
            </w:r>
            <w:proofErr w:type="gramEnd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 / аргументирует отношение к чужой идее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Задает вопрос на понимание идеи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Перефразирует чужую идею для уточнения собс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т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венного понимания идеи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Уточняет</w:t>
            </w:r>
            <w:proofErr w:type="gramEnd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 / детализирует чужую идею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Развивает чужую идею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 w:val="restart"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Указывает на общее в разных идеях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Указывает на отличия в разных идеях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Оценивает идею на предмет соответствия цели о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б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суждения 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vMerge/>
            <w:shd w:val="clear" w:color="auto" w:fill="FFFFF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В случае разногласий формулирует суть разногл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а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сий</w:t>
            </w: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shd w:val="clear" w:color="auto" w:fill="FFFFF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shd w:val="clear" w:color="auto" w:fill="BFBFBF"/>
            <w:vAlign w:val="center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524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6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5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  <w:tc>
          <w:tcPr>
            <w:tcW w:w="766" w:type="dxa"/>
            <w:shd w:val="clear" w:color="auto" w:fill="BFBFBF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i/>
                <w:snapToGrid/>
                <w:sz w:val="6"/>
                <w:szCs w:val="6"/>
                <w:lang w:eastAsia="en-US"/>
              </w:rPr>
            </w:pPr>
          </w:p>
        </w:tc>
      </w:tr>
      <w:tr w:rsidR="003802C9" w:rsidRPr="00A8573A" w:rsidTr="003802C9">
        <w:tc>
          <w:tcPr>
            <w:tcW w:w="817" w:type="dxa"/>
            <w:shd w:val="clear" w:color="auto" w:fill="auto"/>
            <w:vAlign w:val="center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Решение не достигнуто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802C9" w:rsidRPr="00A8573A" w:rsidRDefault="003802C9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3802C9" w:rsidRPr="00A8573A" w:rsidTr="003802C9">
        <w:tc>
          <w:tcPr>
            <w:tcW w:w="817" w:type="dxa"/>
            <w:shd w:val="clear" w:color="auto" w:fill="auto"/>
            <w:vAlign w:val="center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Приняли решение стихийно или единоличное реш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е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ние.</w:t>
            </w:r>
          </w:p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Решение не соответствует заданию или покрывает менее половины </w:t>
            </w: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требуемого</w:t>
            </w:r>
            <w:proofErr w:type="gramEnd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 или не оформлено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802C9" w:rsidRPr="00A8573A" w:rsidRDefault="003802C9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3802C9" w:rsidRPr="00A8573A" w:rsidTr="003802C9">
        <w:tc>
          <w:tcPr>
            <w:tcW w:w="817" w:type="dxa"/>
            <w:shd w:val="clear" w:color="auto" w:fill="auto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5245" w:type="dxa"/>
            <w:shd w:val="clear" w:color="auto" w:fill="auto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Заявленное решение не согласовано всеми</w:t>
            </w:r>
          </w:p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Решение соответствует заданию, неполное, частично оформленное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802C9" w:rsidRPr="00A8573A" w:rsidRDefault="003802C9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3802C9" w:rsidRPr="00A8573A" w:rsidTr="003802C9">
        <w:tc>
          <w:tcPr>
            <w:tcW w:w="817" w:type="dxa"/>
            <w:shd w:val="clear" w:color="auto" w:fill="auto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Договорились о решении. </w:t>
            </w:r>
          </w:p>
          <w:p w:rsidR="003802C9" w:rsidRPr="00A8573A" w:rsidRDefault="003802C9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Решение соответствует заданию, полное и офор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м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ленное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802C9" w:rsidRPr="00A8573A" w:rsidRDefault="003802C9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Корректных попыток достичь личный результат не предпринима</w:t>
            </w: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л(</w:t>
            </w:r>
            <w:proofErr w:type="gramEnd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-а)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proofErr w:type="gramStart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Личный результат не достигнут</w:t>
            </w:r>
            <w:proofErr w:type="gramEnd"/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, были сделаны ко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р</w:t>
            </w: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ректные попытки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Личный результат достигнут частично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F235C3" w:rsidRPr="00A8573A" w:rsidTr="00F235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center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04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8573A">
              <w:rPr>
                <w:rFonts w:eastAsia="Calibri"/>
                <w:snapToGrid/>
                <w:sz w:val="22"/>
                <w:szCs w:val="22"/>
                <w:lang w:eastAsia="en-US"/>
              </w:rPr>
              <w:t>Личный результат достигнут полностью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35C3" w:rsidRPr="00A8573A" w:rsidRDefault="00F235C3" w:rsidP="00A8573A">
            <w:pPr>
              <w:spacing w:before="40" w:after="40"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</w:tbl>
    <w:p w:rsidR="00A8573A" w:rsidRPr="00A8573A" w:rsidRDefault="00A8573A" w:rsidP="00A8573A">
      <w:pPr>
        <w:ind w:firstLine="0"/>
      </w:pPr>
    </w:p>
    <w:sectPr w:rsidR="00A8573A" w:rsidRPr="00A8573A" w:rsidSect="00A8573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8573A"/>
    <w:rsid w:val="00022A6A"/>
    <w:rsid w:val="0032484C"/>
    <w:rsid w:val="003802C9"/>
    <w:rsid w:val="003B78D6"/>
    <w:rsid w:val="003D23BD"/>
    <w:rsid w:val="003F327F"/>
    <w:rsid w:val="00461750"/>
    <w:rsid w:val="00464942"/>
    <w:rsid w:val="00593445"/>
    <w:rsid w:val="00695B2E"/>
    <w:rsid w:val="006A6368"/>
    <w:rsid w:val="006B3373"/>
    <w:rsid w:val="006D1EC0"/>
    <w:rsid w:val="006E29D2"/>
    <w:rsid w:val="0074206E"/>
    <w:rsid w:val="007F5F14"/>
    <w:rsid w:val="00852469"/>
    <w:rsid w:val="009C471B"/>
    <w:rsid w:val="00A74D9F"/>
    <w:rsid w:val="00A8573A"/>
    <w:rsid w:val="00B72D0A"/>
    <w:rsid w:val="00D146E7"/>
    <w:rsid w:val="00D45E1F"/>
    <w:rsid w:val="00D936EA"/>
    <w:rsid w:val="00DF0EBF"/>
    <w:rsid w:val="00EA1E5A"/>
    <w:rsid w:val="00ED0070"/>
    <w:rsid w:val="00EF3E70"/>
    <w:rsid w:val="00EF4DD7"/>
    <w:rsid w:val="00F0799E"/>
    <w:rsid w:val="00F235C3"/>
    <w:rsid w:val="00F602C3"/>
    <w:rsid w:val="00F7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2017-02-09T16:01:00Z</dcterms:created>
  <dcterms:modified xsi:type="dcterms:W3CDTF">2017-02-09T16:01:00Z</dcterms:modified>
</cp:coreProperties>
</file>