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EF" w:rsidRPr="00E7753D" w:rsidRDefault="00E50DEF" w:rsidP="00E50DEF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E7753D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7753D">
        <w:rPr>
          <w:rFonts w:cstheme="minorHAnsi"/>
          <w:sz w:val="20"/>
          <w:szCs w:val="20"/>
        </w:rPr>
        <w:t>р</w:t>
      </w:r>
      <w:r w:rsidRPr="00E7753D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7753D">
        <w:rPr>
          <w:rFonts w:cstheme="minorHAnsi"/>
          <w:sz w:val="20"/>
          <w:szCs w:val="20"/>
        </w:rPr>
        <w:t>ю</w:t>
      </w:r>
      <w:r w:rsidRPr="00E7753D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50DEF" w:rsidRPr="00E7753D" w:rsidRDefault="00E50DEF" w:rsidP="00E50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9C36BB" w:rsidRDefault="009C36BB" w:rsidP="009C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Алеся Александровна, ГБПОУ «Самарский техникум кулинарного искусства»</w:t>
      </w:r>
    </w:p>
    <w:p w:rsidR="00E50DEF" w:rsidRPr="00E7753D" w:rsidRDefault="00E50DEF" w:rsidP="00E50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EF" w:rsidRPr="00E7753D" w:rsidRDefault="00E50DEF" w:rsidP="00E50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50DEF" w:rsidRDefault="00F47935" w:rsidP="00E50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EF">
        <w:rPr>
          <w:rFonts w:ascii="Times New Roman" w:hAnsi="Times New Roman" w:cs="Times New Roman"/>
          <w:sz w:val="24"/>
          <w:szCs w:val="24"/>
        </w:rPr>
        <w:t xml:space="preserve">Компетенции в сфере </w:t>
      </w:r>
      <w:r w:rsidR="00E96FF5" w:rsidRPr="00E50DEF">
        <w:rPr>
          <w:rFonts w:ascii="Times New Roman" w:hAnsi="Times New Roman" w:cs="Times New Roman"/>
          <w:sz w:val="24"/>
          <w:szCs w:val="24"/>
        </w:rPr>
        <w:t>работы с информацией</w:t>
      </w:r>
      <w:r w:rsidR="0029760D" w:rsidRPr="00E50DEF">
        <w:rPr>
          <w:rFonts w:ascii="Times New Roman" w:hAnsi="Times New Roman" w:cs="Times New Roman"/>
          <w:sz w:val="24"/>
          <w:szCs w:val="24"/>
        </w:rPr>
        <w:t xml:space="preserve">. </w:t>
      </w:r>
      <w:r w:rsidR="00E96FF5" w:rsidRPr="00E50DEF">
        <w:rPr>
          <w:rFonts w:ascii="Times New Roman" w:hAnsi="Times New Roman" w:cs="Times New Roman"/>
          <w:sz w:val="24"/>
          <w:szCs w:val="24"/>
        </w:rPr>
        <w:t>Извлечение и первичная обработка информ</w:t>
      </w:r>
      <w:r w:rsidR="00E96FF5" w:rsidRPr="00E50DEF">
        <w:rPr>
          <w:rFonts w:ascii="Times New Roman" w:hAnsi="Times New Roman" w:cs="Times New Roman"/>
          <w:sz w:val="24"/>
          <w:szCs w:val="24"/>
        </w:rPr>
        <w:t>а</w:t>
      </w:r>
      <w:r w:rsidR="00E96FF5" w:rsidRPr="00E50DEF">
        <w:rPr>
          <w:rFonts w:ascii="Times New Roman" w:hAnsi="Times New Roman" w:cs="Times New Roman"/>
          <w:sz w:val="24"/>
          <w:szCs w:val="24"/>
        </w:rPr>
        <w:t>ции</w:t>
      </w:r>
      <w:r w:rsidR="0029760D" w:rsidRPr="00E50DEF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="00E96FF5" w:rsidRPr="00E50D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760D" w:rsidRPr="00E50DE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15D8C" w:rsidRPr="00E50DEF" w:rsidRDefault="0029760D" w:rsidP="00E50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DEF">
        <w:rPr>
          <w:rFonts w:ascii="Times New Roman" w:hAnsi="Times New Roman" w:cs="Times New Roman"/>
          <w:sz w:val="24"/>
          <w:szCs w:val="24"/>
        </w:rPr>
        <w:t xml:space="preserve">Общие компетенции профессионала </w:t>
      </w:r>
      <w:r w:rsidR="00515D8C" w:rsidRPr="00E50DEF">
        <w:rPr>
          <w:rFonts w:ascii="Times New Roman" w:hAnsi="Times New Roman" w:cs="Times New Roman"/>
          <w:sz w:val="24"/>
          <w:szCs w:val="24"/>
        </w:rPr>
        <w:t>(43.01.09.</w:t>
      </w:r>
      <w:proofErr w:type="gramEnd"/>
      <w:r w:rsidR="00515D8C" w:rsidRPr="00E5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D8C" w:rsidRPr="00E50DEF">
        <w:rPr>
          <w:rFonts w:ascii="Times New Roman" w:hAnsi="Times New Roman" w:cs="Times New Roman"/>
          <w:sz w:val="24"/>
          <w:szCs w:val="24"/>
        </w:rPr>
        <w:t>ОП.17)</w:t>
      </w:r>
      <w:proofErr w:type="gramEnd"/>
    </w:p>
    <w:p w:rsidR="001D5998" w:rsidRPr="00E50DEF" w:rsidRDefault="0029760D" w:rsidP="00E50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EF">
        <w:rPr>
          <w:rFonts w:ascii="Times New Roman" w:hAnsi="Times New Roman" w:cs="Times New Roman"/>
          <w:sz w:val="24"/>
          <w:szCs w:val="24"/>
        </w:rPr>
        <w:t>Тема</w:t>
      </w:r>
      <w:r w:rsidR="00E50DEF">
        <w:rPr>
          <w:rFonts w:ascii="Times New Roman" w:hAnsi="Times New Roman" w:cs="Times New Roman"/>
          <w:sz w:val="24"/>
          <w:szCs w:val="24"/>
        </w:rPr>
        <w:t>:</w:t>
      </w:r>
      <w:r w:rsidRPr="00E50DEF">
        <w:rPr>
          <w:rFonts w:ascii="Times New Roman" w:hAnsi="Times New Roman" w:cs="Times New Roman"/>
          <w:sz w:val="24"/>
          <w:szCs w:val="24"/>
        </w:rPr>
        <w:t xml:space="preserve"> </w:t>
      </w:r>
      <w:r w:rsidR="00E96FF5" w:rsidRPr="00E50DEF">
        <w:rPr>
          <w:rFonts w:ascii="Times New Roman" w:hAnsi="Times New Roman" w:cs="Times New Roman"/>
          <w:sz w:val="24"/>
          <w:szCs w:val="24"/>
        </w:rPr>
        <w:t>Извлечение и первичная обработка информации</w:t>
      </w:r>
    </w:p>
    <w:p w:rsidR="00E96FF5" w:rsidRDefault="00E96FF5" w:rsidP="00E50D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DEF" w:rsidRPr="00E50DEF" w:rsidRDefault="00E50DEF" w:rsidP="00E50D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291F" w:rsidRPr="00E50DEF" w:rsidRDefault="00E96FF5" w:rsidP="00E5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DEF">
        <w:rPr>
          <w:rFonts w:ascii="Times New Roman" w:hAnsi="Times New Roman" w:cs="Times New Roman"/>
          <w:sz w:val="24"/>
          <w:szCs w:val="24"/>
        </w:rPr>
        <w:t>Вы являетесь студентом кулинарного техникума</w:t>
      </w:r>
      <w:r w:rsidR="00CA67FE" w:rsidRPr="00E50DEF">
        <w:rPr>
          <w:rFonts w:ascii="Times New Roman" w:hAnsi="Times New Roman" w:cs="Times New Roman"/>
          <w:sz w:val="24"/>
          <w:szCs w:val="24"/>
        </w:rPr>
        <w:t>. Ваш</w:t>
      </w:r>
      <w:r w:rsidRPr="00E50DEF">
        <w:rPr>
          <w:rFonts w:ascii="Times New Roman" w:hAnsi="Times New Roman" w:cs="Times New Roman"/>
          <w:sz w:val="24"/>
          <w:szCs w:val="24"/>
        </w:rPr>
        <w:t xml:space="preserve"> </w:t>
      </w:r>
      <w:r w:rsidR="00CA67FE" w:rsidRPr="00E50DEF">
        <w:rPr>
          <w:rFonts w:ascii="Times New Roman" w:hAnsi="Times New Roman" w:cs="Times New Roman"/>
          <w:sz w:val="24"/>
          <w:szCs w:val="24"/>
        </w:rPr>
        <w:t>техникум</w:t>
      </w:r>
      <w:r w:rsidRPr="00E50DEF">
        <w:rPr>
          <w:rFonts w:ascii="Times New Roman" w:hAnsi="Times New Roman" w:cs="Times New Roman"/>
          <w:sz w:val="24"/>
          <w:szCs w:val="24"/>
        </w:rPr>
        <w:t xml:space="preserve"> сотрудничает с зар</w:t>
      </w:r>
      <w:r w:rsidRPr="00E50DEF">
        <w:rPr>
          <w:rFonts w:ascii="Times New Roman" w:hAnsi="Times New Roman" w:cs="Times New Roman"/>
          <w:sz w:val="24"/>
          <w:szCs w:val="24"/>
        </w:rPr>
        <w:t>у</w:t>
      </w:r>
      <w:r w:rsidRPr="00E50DEF">
        <w:rPr>
          <w:rFonts w:ascii="Times New Roman" w:hAnsi="Times New Roman" w:cs="Times New Roman"/>
          <w:sz w:val="24"/>
          <w:szCs w:val="24"/>
        </w:rPr>
        <w:t xml:space="preserve">бежными учебными заведениями по программе «Учеба по обмену». </w:t>
      </w:r>
      <w:r w:rsidR="00AE291F" w:rsidRPr="00E50DEF">
        <w:rPr>
          <w:rFonts w:ascii="Times New Roman" w:hAnsi="Times New Roman" w:cs="Times New Roman"/>
          <w:sz w:val="24"/>
          <w:szCs w:val="24"/>
        </w:rPr>
        <w:t>Как многие обучающи</w:t>
      </w:r>
      <w:r w:rsidR="00AE291F" w:rsidRPr="00E50DEF">
        <w:rPr>
          <w:rFonts w:ascii="Times New Roman" w:hAnsi="Times New Roman" w:cs="Times New Roman"/>
          <w:sz w:val="24"/>
          <w:szCs w:val="24"/>
        </w:rPr>
        <w:t>е</w:t>
      </w:r>
      <w:r w:rsidR="00AE291F" w:rsidRPr="00E50DEF">
        <w:rPr>
          <w:rFonts w:ascii="Times New Roman" w:hAnsi="Times New Roman" w:cs="Times New Roman"/>
          <w:sz w:val="24"/>
          <w:szCs w:val="24"/>
        </w:rPr>
        <w:t xml:space="preserve">ся, вы подали заявление в учебную часть на стажировку в Италии, которая планируется на следующий семестр. </w:t>
      </w:r>
      <w:r w:rsidR="00CA67FE" w:rsidRPr="00E50DEF">
        <w:rPr>
          <w:rFonts w:ascii="Times New Roman" w:hAnsi="Times New Roman" w:cs="Times New Roman"/>
          <w:sz w:val="24"/>
          <w:szCs w:val="24"/>
        </w:rPr>
        <w:t>Из всех претендентов для участия в программе выбрали вас</w:t>
      </w:r>
      <w:r w:rsidR="00AE291F" w:rsidRPr="00E50DEF">
        <w:rPr>
          <w:rFonts w:ascii="Times New Roman" w:hAnsi="Times New Roman" w:cs="Times New Roman"/>
          <w:sz w:val="24"/>
          <w:szCs w:val="24"/>
        </w:rPr>
        <w:t>, и ваше з</w:t>
      </w:r>
      <w:r w:rsidR="00AE291F" w:rsidRPr="00E50DEF">
        <w:rPr>
          <w:rFonts w:ascii="Times New Roman" w:hAnsi="Times New Roman" w:cs="Times New Roman"/>
          <w:sz w:val="24"/>
          <w:szCs w:val="24"/>
        </w:rPr>
        <w:t>а</w:t>
      </w:r>
      <w:r w:rsidR="00AE291F" w:rsidRPr="00E50DEF">
        <w:rPr>
          <w:rFonts w:ascii="Times New Roman" w:hAnsi="Times New Roman" w:cs="Times New Roman"/>
          <w:sz w:val="24"/>
          <w:szCs w:val="24"/>
        </w:rPr>
        <w:t>явление было подписано</w:t>
      </w:r>
      <w:r w:rsidR="00CA67FE" w:rsidRPr="00E50DEF">
        <w:rPr>
          <w:rFonts w:ascii="Times New Roman" w:hAnsi="Times New Roman" w:cs="Times New Roman"/>
          <w:sz w:val="24"/>
          <w:szCs w:val="24"/>
        </w:rPr>
        <w:t xml:space="preserve">. </w:t>
      </w:r>
      <w:r w:rsidR="00AE291F" w:rsidRPr="00E50DEF">
        <w:rPr>
          <w:rFonts w:ascii="Times New Roman" w:hAnsi="Times New Roman" w:cs="Times New Roman"/>
          <w:sz w:val="24"/>
          <w:szCs w:val="24"/>
        </w:rPr>
        <w:t>Однако времени для подготовки и подачи документов на получ</w:t>
      </w:r>
      <w:r w:rsidR="00AE291F" w:rsidRPr="00E50DEF">
        <w:rPr>
          <w:rFonts w:ascii="Times New Roman" w:hAnsi="Times New Roman" w:cs="Times New Roman"/>
          <w:sz w:val="24"/>
          <w:szCs w:val="24"/>
        </w:rPr>
        <w:t>е</w:t>
      </w:r>
      <w:r w:rsidR="00AE291F" w:rsidRPr="00E50DEF">
        <w:rPr>
          <w:rFonts w:ascii="Times New Roman" w:hAnsi="Times New Roman" w:cs="Times New Roman"/>
          <w:sz w:val="24"/>
          <w:szCs w:val="24"/>
        </w:rPr>
        <w:t xml:space="preserve">ние визы осталось очень немного. Поэтому вы решили потратить один вечер на изучение всех рекомендаций, чтобы составить для себя </w:t>
      </w:r>
      <w:proofErr w:type="gramStart"/>
      <w:r w:rsidR="00AE291F" w:rsidRPr="00E50DEF">
        <w:rPr>
          <w:rFonts w:ascii="Times New Roman" w:hAnsi="Times New Roman" w:cs="Times New Roman"/>
          <w:sz w:val="24"/>
          <w:szCs w:val="24"/>
        </w:rPr>
        <w:t>простой</w:t>
      </w:r>
      <w:proofErr w:type="gramEnd"/>
      <w:r w:rsidR="00AE291F" w:rsidRPr="00E50DEF">
        <w:rPr>
          <w:rFonts w:ascii="Times New Roman" w:hAnsi="Times New Roman" w:cs="Times New Roman"/>
          <w:sz w:val="24"/>
          <w:szCs w:val="24"/>
        </w:rPr>
        <w:t xml:space="preserve"> и понятный алгоритм действий</w:t>
      </w:r>
      <w:r w:rsidR="00D73A28" w:rsidRPr="00E50DEF">
        <w:rPr>
          <w:rFonts w:ascii="Times New Roman" w:hAnsi="Times New Roman" w:cs="Times New Roman"/>
          <w:sz w:val="24"/>
          <w:szCs w:val="24"/>
        </w:rPr>
        <w:t xml:space="preserve"> и</w:t>
      </w:r>
      <w:r w:rsidR="0057471B" w:rsidRPr="00E50DEF">
        <w:rPr>
          <w:rFonts w:ascii="Times New Roman" w:hAnsi="Times New Roman" w:cs="Times New Roman"/>
          <w:sz w:val="24"/>
          <w:szCs w:val="24"/>
        </w:rPr>
        <w:t xml:space="preserve"> п</w:t>
      </w:r>
      <w:r w:rsidR="0057471B" w:rsidRPr="00E50DEF">
        <w:rPr>
          <w:rFonts w:ascii="Times New Roman" w:hAnsi="Times New Roman" w:cs="Times New Roman"/>
          <w:sz w:val="24"/>
          <w:szCs w:val="24"/>
        </w:rPr>
        <w:t>о</w:t>
      </w:r>
      <w:r w:rsidR="0057471B" w:rsidRPr="00E50DEF">
        <w:rPr>
          <w:rFonts w:ascii="Times New Roman" w:hAnsi="Times New Roman" w:cs="Times New Roman"/>
          <w:sz w:val="24"/>
          <w:szCs w:val="24"/>
        </w:rPr>
        <w:t>стоянно иметь перед глазами общую картину того, что вам предстоит сделать</w:t>
      </w:r>
      <w:r w:rsidR="00AE291F" w:rsidRPr="00E50DEF">
        <w:rPr>
          <w:rFonts w:ascii="Times New Roman" w:hAnsi="Times New Roman" w:cs="Times New Roman"/>
          <w:sz w:val="24"/>
          <w:szCs w:val="24"/>
        </w:rPr>
        <w:t>.</w:t>
      </w:r>
    </w:p>
    <w:p w:rsidR="00CA67FE" w:rsidRPr="00E50DEF" w:rsidRDefault="00CA67FE" w:rsidP="00E5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DEF">
        <w:rPr>
          <w:rFonts w:ascii="Times New Roman" w:hAnsi="Times New Roman" w:cs="Times New Roman"/>
          <w:sz w:val="24"/>
          <w:szCs w:val="24"/>
        </w:rPr>
        <w:t>Прочитайте информацию</w:t>
      </w:r>
      <w:r w:rsidR="00AE291F" w:rsidRPr="00E50DEF">
        <w:rPr>
          <w:rFonts w:ascii="Times New Roman" w:hAnsi="Times New Roman" w:cs="Times New Roman"/>
          <w:sz w:val="24"/>
          <w:szCs w:val="24"/>
        </w:rPr>
        <w:t xml:space="preserve"> о порядке оформления документов для учебы по обмену.</w:t>
      </w:r>
      <w:bookmarkStart w:id="0" w:name="_GoBack"/>
      <w:bookmarkEnd w:id="0"/>
    </w:p>
    <w:p w:rsidR="00CA67FE" w:rsidRPr="00E50DEF" w:rsidRDefault="00CA67FE" w:rsidP="00E50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EF">
        <w:rPr>
          <w:rFonts w:ascii="Times New Roman" w:hAnsi="Times New Roman" w:cs="Times New Roman"/>
          <w:b/>
          <w:sz w:val="24"/>
          <w:szCs w:val="24"/>
        </w:rPr>
        <w:t xml:space="preserve">Представьте </w:t>
      </w:r>
      <w:r w:rsidR="00AE291F" w:rsidRPr="00E50DEF">
        <w:rPr>
          <w:rFonts w:ascii="Times New Roman" w:hAnsi="Times New Roman" w:cs="Times New Roman"/>
          <w:b/>
          <w:sz w:val="24"/>
          <w:szCs w:val="24"/>
        </w:rPr>
        <w:t xml:space="preserve">нужную вам </w:t>
      </w:r>
      <w:r w:rsidRPr="00E50DEF">
        <w:rPr>
          <w:rFonts w:ascii="Times New Roman" w:hAnsi="Times New Roman" w:cs="Times New Roman"/>
          <w:b/>
          <w:sz w:val="24"/>
          <w:szCs w:val="24"/>
        </w:rPr>
        <w:t xml:space="preserve">информацию в удобной для </w:t>
      </w:r>
      <w:r w:rsidR="00AE291F" w:rsidRPr="00E50DEF">
        <w:rPr>
          <w:rFonts w:ascii="Times New Roman" w:hAnsi="Times New Roman" w:cs="Times New Roman"/>
          <w:b/>
          <w:sz w:val="24"/>
          <w:szCs w:val="24"/>
        </w:rPr>
        <w:t>самоорганизации и опер</w:t>
      </w:r>
      <w:r w:rsidR="00AE291F" w:rsidRPr="00E50DEF">
        <w:rPr>
          <w:rFonts w:ascii="Times New Roman" w:hAnsi="Times New Roman" w:cs="Times New Roman"/>
          <w:b/>
          <w:sz w:val="24"/>
          <w:szCs w:val="24"/>
        </w:rPr>
        <w:t>а</w:t>
      </w:r>
      <w:r w:rsidR="00AE291F" w:rsidRPr="00E50DEF">
        <w:rPr>
          <w:rFonts w:ascii="Times New Roman" w:hAnsi="Times New Roman" w:cs="Times New Roman"/>
          <w:b/>
          <w:sz w:val="24"/>
          <w:szCs w:val="24"/>
        </w:rPr>
        <w:t xml:space="preserve">тивной подаче документов </w:t>
      </w:r>
      <w:r w:rsidRPr="00E50DEF">
        <w:rPr>
          <w:rFonts w:ascii="Times New Roman" w:hAnsi="Times New Roman" w:cs="Times New Roman"/>
          <w:b/>
          <w:sz w:val="24"/>
          <w:szCs w:val="24"/>
        </w:rPr>
        <w:t>форме.</w:t>
      </w:r>
    </w:p>
    <w:p w:rsidR="00EA270D" w:rsidRPr="00E50DEF" w:rsidRDefault="00EA270D" w:rsidP="00E50D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291F" w:rsidRPr="00E50DEF" w:rsidRDefault="00AE291F" w:rsidP="00E50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EF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документов для </w:t>
      </w:r>
      <w:proofErr w:type="gramStart"/>
      <w:r w:rsidRPr="00E50DEF">
        <w:rPr>
          <w:rFonts w:ascii="Times New Roman" w:hAnsi="Times New Roman" w:cs="Times New Roman"/>
          <w:b/>
          <w:sz w:val="24"/>
          <w:szCs w:val="24"/>
        </w:rPr>
        <w:t>обучения по обмену</w:t>
      </w:r>
      <w:proofErr w:type="gramEnd"/>
      <w:r w:rsidRPr="00E50DEF">
        <w:rPr>
          <w:rFonts w:ascii="Times New Roman" w:hAnsi="Times New Roman" w:cs="Times New Roman"/>
          <w:b/>
          <w:sz w:val="24"/>
          <w:szCs w:val="24"/>
        </w:rPr>
        <w:t xml:space="preserve"> студентами</w:t>
      </w:r>
    </w:p>
    <w:p w:rsidR="00515D8C" w:rsidRPr="00E50DEF" w:rsidRDefault="00AE291F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получения студенческой визы с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тудент обращается в визовый центр в своем городе. С 15 февраля 2017 года стоимость консульского сбора на студенческую визу типа D, составл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ет 50 евро за каждого заявителя. Сервисный сбор составляет 1800 рублей, что эквива</w:t>
      </w:r>
      <w:r w:rsid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лентно 29,50 евро + 850 рублей -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курьерские услуги за каждого заявителя. Оплата услуг Визового це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тра и оплата консульского сбора производится наличными в любом отделен</w:t>
      </w:r>
      <w:proofErr w:type="gramStart"/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ии АО</w:t>
      </w:r>
      <w:proofErr w:type="gramEnd"/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«Банк» п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 предварительной проверки пакета документов в Визовом центре. При оформлении стр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515D8C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ховки в визовом центре, оплата производится в день подачи документов.</w:t>
      </w:r>
    </w:p>
    <w:p w:rsidR="00515D8C" w:rsidRPr="00E50DEF" w:rsidRDefault="00515D8C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Возможно оформление двух типов виз: долгосрочной </w:t>
      </w:r>
      <w:r w:rsidR="00AE291F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(типа </w:t>
      </w:r>
      <w:r w:rsidR="00AE291F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D</w:t>
      </w:r>
      <w:r w:rsidR="00AE291F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краткосрочной</w:t>
      </w:r>
      <w:r w:rsidR="00AE291F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(типа С)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15D8C" w:rsidRPr="00E50DEF" w:rsidRDefault="00515D8C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запросе визы больше, чем на 90 дней (долгосрочной) предоставляется два ко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плекта документов (первый - оригиналы, второй -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копии).</w:t>
      </w:r>
    </w:p>
    <w:p w:rsidR="00515D8C" w:rsidRPr="00E50DEF" w:rsidRDefault="00515D8C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Необходимые документы:</w:t>
      </w:r>
      <w:r w:rsidR="00AE291F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приглашение от итальянского вуза;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копия договора между учебными заведениями в РФ и Италии по обмену студентами;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подтверждение принадлежности к учебному заведению, заключившему договор с ит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льянской стороной: справка с места учебы и копия студенческого билета или сопров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дительное письмо от учебного заведения (какие-либо конкретные учебные проекты, дипломная работа и т.д.);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документы, подтверждающие наличие места проживания, в случае если это не указано в приглашении (точный адрес): бронь общежития; договор об аренде квартиры с коп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 документа, удостоверяющего личность владельца, или приглашение от итальянского гражданина с копией документа, удостоверяющего личность, или приглашение от ин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странного гражданина с копией вида на жительство;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бронь билетов. Если виза запрашивается более чем на 90 дней, предоставляется билет только в одну сторону. Если виза запрашивается менее чем на 90 дней, предоставляется билет туда и обратно;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медицинская страховка для стран Шенгена. Для получения визы менее чем на 90 дней требуется медицинская страховка на весь период пребывания в Шенгенской зоне. Для получения визы более чем на 90 дней требуется медицинская страховка на первые 8-30 дней пребывания в Шенгенской зоне. Полис медицинского страхования граждан, вые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жающих за рубеж, можно оформить в Визовом центре;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анкета, которая заполняется печатными буквами на каждого заявителя на итальянском или английском языке, либо на </w:t>
      </w:r>
      <w:proofErr w:type="spellStart"/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транслите</w:t>
      </w:r>
      <w:proofErr w:type="spellEnd"/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цветных фотографии на белом фоне. Размер: 3×4 или 3,5×4,5 см;</w:t>
      </w:r>
    </w:p>
    <w:p w:rsid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подтверждение личной финансовой гарантии в размере не менее 448,52 евро в месяц. Наличные деньги и гарантийные письма от третьих лиц не являются подтверждением наличия финансовых средств. В качестве финансовой гарантии принимается один из следующих документов:</w:t>
      </w:r>
    </w:p>
    <w:p w:rsidR="00E50DEF" w:rsidRDefault="00515D8C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a) оригинал выписки о состоянии счета заявителя. Счет </w:t>
      </w:r>
      <w:r w:rsid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может быть в любой валюте (в том числе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ублевый). Выписка со счета действительна не более одного месяца;</w:t>
      </w:r>
    </w:p>
    <w:p w:rsidR="00E50DEF" w:rsidRDefault="00515D8C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b) оригинал и ксерокопия сберкнижки;</w:t>
      </w:r>
    </w:p>
    <w:p w:rsidR="00E50DEF" w:rsidRDefault="00515D8C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c) ксерокопия кредитной карты + чек банкомата с балансом карты (чек из банкомата действителен в течение 3 дней на дату подачи документов);</w:t>
      </w:r>
    </w:p>
    <w:p w:rsidR="00AE291F" w:rsidRPr="00E50DEF" w:rsidRDefault="00515D8C" w:rsidP="00E5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случае если студенты запрашивают краткосрочную визу тип «С»</w:t>
      </w:r>
      <w:r w:rsid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допустимо гара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тийное письмо от вуза РФ.</w:t>
      </w:r>
    </w:p>
    <w:p w:rsidR="00E50DEF" w:rsidRP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загранпаспорт, действительный не менее трех месяцев после срока окончания действия визы, содержащий минимум две незаполненные страницы (разворот), выданный не б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лее десяти лет назад. Если у вас два действующих по срокам загранпаспорта, следует предоставить оба паспорта. Если один из них был аннулирован, достаточно предост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вить его ко</w:t>
      </w:r>
      <w:r w:rsidR="00E50DEF"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пию;</w:t>
      </w:r>
    </w:p>
    <w:p w:rsidR="00E50DEF" w:rsidRP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паспорт гражданина РФ или любого иного государства для заключения договора;</w:t>
      </w:r>
    </w:p>
    <w:p w:rsidR="00515D8C" w:rsidRPr="00E50DEF" w:rsidRDefault="00515D8C" w:rsidP="00E50DEF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0D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согласие на обработку персональных данных.</w:t>
      </w:r>
    </w:p>
    <w:p w:rsidR="00E50DEF" w:rsidRDefault="00E50DEF" w:rsidP="00E5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0D" w:rsidRPr="00E50DEF" w:rsidRDefault="00AE291F" w:rsidP="00E5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DEF">
        <w:rPr>
          <w:rFonts w:ascii="Times New Roman" w:hAnsi="Times New Roman" w:cs="Times New Roman"/>
          <w:sz w:val="24"/>
          <w:szCs w:val="24"/>
        </w:rPr>
        <w:t>Как вы видите, часть документов предоставляет образовательная организация, в кот</w:t>
      </w:r>
      <w:r w:rsidRPr="00E50DEF">
        <w:rPr>
          <w:rFonts w:ascii="Times New Roman" w:hAnsi="Times New Roman" w:cs="Times New Roman"/>
          <w:sz w:val="24"/>
          <w:szCs w:val="24"/>
        </w:rPr>
        <w:t>о</w:t>
      </w:r>
      <w:r w:rsidRPr="00E50DEF">
        <w:rPr>
          <w:rFonts w:ascii="Times New Roman" w:hAnsi="Times New Roman" w:cs="Times New Roman"/>
          <w:sz w:val="24"/>
          <w:szCs w:val="24"/>
        </w:rPr>
        <w:t xml:space="preserve">рой обучается студент. </w:t>
      </w:r>
      <w:r w:rsidR="00EA270D" w:rsidRPr="00E50DEF">
        <w:rPr>
          <w:rFonts w:ascii="Times New Roman" w:hAnsi="Times New Roman" w:cs="Times New Roman"/>
          <w:sz w:val="24"/>
          <w:szCs w:val="24"/>
        </w:rPr>
        <w:t xml:space="preserve">Самым первым и важным шагом для начала </w:t>
      </w:r>
      <w:proofErr w:type="gramStart"/>
      <w:r w:rsidR="00EA270D" w:rsidRPr="00E50DEF">
        <w:rPr>
          <w:rFonts w:ascii="Times New Roman" w:hAnsi="Times New Roman" w:cs="Times New Roman"/>
          <w:sz w:val="24"/>
          <w:szCs w:val="24"/>
        </w:rPr>
        <w:t>обучения по обмену</w:t>
      </w:r>
      <w:proofErr w:type="gramEnd"/>
      <w:r w:rsidR="00EA270D" w:rsidRPr="00E50DEF">
        <w:rPr>
          <w:rFonts w:ascii="Times New Roman" w:hAnsi="Times New Roman" w:cs="Times New Roman"/>
          <w:sz w:val="24"/>
          <w:szCs w:val="24"/>
        </w:rPr>
        <w:t xml:space="preserve"> я</w:t>
      </w:r>
      <w:r w:rsidR="00EA270D" w:rsidRPr="00E50DEF">
        <w:rPr>
          <w:rFonts w:ascii="Times New Roman" w:hAnsi="Times New Roman" w:cs="Times New Roman"/>
          <w:sz w:val="24"/>
          <w:szCs w:val="24"/>
        </w:rPr>
        <w:t>в</w:t>
      </w:r>
      <w:r w:rsidR="00EA270D" w:rsidRPr="00E50DEF">
        <w:rPr>
          <w:rFonts w:ascii="Times New Roman" w:hAnsi="Times New Roman" w:cs="Times New Roman"/>
          <w:sz w:val="24"/>
          <w:szCs w:val="24"/>
        </w:rPr>
        <w:t xml:space="preserve">ляется подача заявления в учебную часть </w:t>
      </w:r>
      <w:r w:rsidRPr="00E50DEF">
        <w:rPr>
          <w:rFonts w:ascii="Times New Roman" w:hAnsi="Times New Roman" w:cs="Times New Roman"/>
          <w:sz w:val="24"/>
          <w:szCs w:val="24"/>
        </w:rPr>
        <w:t>техникума или вуза</w:t>
      </w:r>
      <w:r w:rsidR="00EA270D" w:rsidRPr="00E50DEF">
        <w:rPr>
          <w:rFonts w:ascii="Times New Roman" w:hAnsi="Times New Roman" w:cs="Times New Roman"/>
          <w:sz w:val="24"/>
          <w:szCs w:val="24"/>
        </w:rPr>
        <w:t>, в котором обучается студент на данный момент. В случае одобрения</w:t>
      </w:r>
      <w:r w:rsidRPr="00E50DEF">
        <w:rPr>
          <w:rFonts w:ascii="Times New Roman" w:hAnsi="Times New Roman" w:cs="Times New Roman"/>
          <w:sz w:val="24"/>
          <w:szCs w:val="24"/>
        </w:rPr>
        <w:t xml:space="preserve"> этого заявления</w:t>
      </w:r>
      <w:r w:rsidR="00EA270D" w:rsidRPr="00E50DEF">
        <w:rPr>
          <w:rFonts w:ascii="Times New Roman" w:hAnsi="Times New Roman" w:cs="Times New Roman"/>
          <w:sz w:val="24"/>
          <w:szCs w:val="24"/>
        </w:rPr>
        <w:t xml:space="preserve"> студент приступает к следующему шагу.</w:t>
      </w:r>
    </w:p>
    <w:p w:rsidR="00077DC9" w:rsidRPr="00E50DEF" w:rsidRDefault="00077DC9" w:rsidP="00E50D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proofErr w:type="gramStart"/>
      <w:r w:rsidRPr="00E50DEF">
        <w:rPr>
          <w:spacing w:val="-2"/>
        </w:rPr>
        <w:t>Студент, желающий пройти семестровое обучение за рубежом, должен на сайте зар</w:t>
      </w:r>
      <w:r w:rsidRPr="00E50DEF">
        <w:rPr>
          <w:spacing w:val="-2"/>
        </w:rPr>
        <w:t>у</w:t>
      </w:r>
      <w:r w:rsidRPr="00E50DEF">
        <w:rPr>
          <w:spacing w:val="-2"/>
        </w:rPr>
        <w:t>бежного учебного заведения найти перечень и содержание дисциплин, которые будут преп</w:t>
      </w:r>
      <w:r w:rsidRPr="00E50DEF">
        <w:rPr>
          <w:spacing w:val="-2"/>
        </w:rPr>
        <w:t>о</w:t>
      </w:r>
      <w:r w:rsidRPr="00E50DEF">
        <w:rPr>
          <w:spacing w:val="-2"/>
        </w:rPr>
        <w:t>даваться в нужном студенту семестре, выяснить, будут ли они вестись на английском языке, составить проект соглашения об обучении с зарубежным учебным заведением (</w:t>
      </w:r>
      <w:proofErr w:type="spellStart"/>
      <w:r w:rsidRPr="00E50DEF">
        <w:rPr>
          <w:spacing w:val="-2"/>
        </w:rPr>
        <w:t>Learning</w:t>
      </w:r>
      <w:proofErr w:type="spellEnd"/>
      <w:r w:rsidRPr="00E50DEF">
        <w:rPr>
          <w:spacing w:val="-2"/>
        </w:rPr>
        <w:t xml:space="preserve"> </w:t>
      </w:r>
      <w:proofErr w:type="spellStart"/>
      <w:r w:rsidRPr="00E50DEF">
        <w:rPr>
          <w:spacing w:val="-2"/>
        </w:rPr>
        <w:t>Agreement</w:t>
      </w:r>
      <w:proofErr w:type="spellEnd"/>
      <w:r w:rsidRPr="00E50DEF">
        <w:rPr>
          <w:spacing w:val="-2"/>
        </w:rPr>
        <w:t>), включив в него аналоги дисциплин из учебного плана специальности (направл</w:t>
      </w:r>
      <w:r w:rsidRPr="00E50DEF">
        <w:rPr>
          <w:spacing w:val="-2"/>
        </w:rPr>
        <w:t>е</w:t>
      </w:r>
      <w:r w:rsidRPr="00E50DEF">
        <w:rPr>
          <w:spacing w:val="-2"/>
        </w:rPr>
        <w:t>ния подготовки) своего учебного заведения.</w:t>
      </w:r>
      <w:proofErr w:type="gramEnd"/>
      <w:r w:rsidRPr="00E50DEF">
        <w:rPr>
          <w:spacing w:val="-2"/>
        </w:rPr>
        <w:t xml:space="preserve"> После этого студенту необходимо встретиться со всеми преподавателями, которые будут вести дисциплины в этом семестре.</w:t>
      </w:r>
    </w:p>
    <w:p w:rsidR="00077DC9" w:rsidRPr="00E50DEF" w:rsidRDefault="00077DC9" w:rsidP="00E50D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proofErr w:type="gramStart"/>
      <w:r w:rsidRPr="00E50DEF">
        <w:rPr>
          <w:spacing w:val="-2"/>
        </w:rPr>
        <w:t>Преподаватель знакомит студента с программой дисциплины, сопоставляет объем и с</w:t>
      </w:r>
      <w:r w:rsidRPr="00E50DEF">
        <w:rPr>
          <w:spacing w:val="-2"/>
        </w:rPr>
        <w:t>о</w:t>
      </w:r>
      <w:r w:rsidRPr="00E50DEF">
        <w:rPr>
          <w:spacing w:val="-2"/>
        </w:rPr>
        <w:t>держание соответствующей дисциплины зарубежного вуза и в плане согласования семестр</w:t>
      </w:r>
      <w:r w:rsidRPr="00E50DEF">
        <w:rPr>
          <w:spacing w:val="-2"/>
        </w:rPr>
        <w:t>о</w:t>
      </w:r>
      <w:r w:rsidRPr="00E50DEF">
        <w:rPr>
          <w:spacing w:val="-2"/>
        </w:rPr>
        <w:t>вого обучения письменно фиксирует процедуру будущей аттестации (</w:t>
      </w:r>
      <w:proofErr w:type="spellStart"/>
      <w:r w:rsidRPr="00E50DEF">
        <w:rPr>
          <w:spacing w:val="-2"/>
        </w:rPr>
        <w:t>перезачет</w:t>
      </w:r>
      <w:proofErr w:type="spellEnd"/>
      <w:r w:rsidRPr="00E50DEF">
        <w:rPr>
          <w:spacing w:val="-2"/>
        </w:rPr>
        <w:t xml:space="preserve"> оценки зар</w:t>
      </w:r>
      <w:r w:rsidRPr="00E50DEF">
        <w:rPr>
          <w:spacing w:val="-2"/>
        </w:rPr>
        <w:t>у</w:t>
      </w:r>
      <w:r w:rsidRPr="00E50DEF">
        <w:rPr>
          <w:spacing w:val="-2"/>
        </w:rPr>
        <w:t>бежного учебного заведения, переаттестация, дисциплина будет сдана до отъезда, изучение дополнительных тем, процедура выполнения лабораторных работ, выдача заданий, контрол</w:t>
      </w:r>
      <w:r w:rsidRPr="00E50DEF">
        <w:rPr>
          <w:spacing w:val="-2"/>
        </w:rPr>
        <w:t>ь</w:t>
      </w:r>
      <w:r w:rsidR="00E50DEF">
        <w:rPr>
          <w:spacing w:val="-2"/>
        </w:rPr>
        <w:t>ных вопросов и т.д</w:t>
      </w:r>
      <w:r w:rsidRPr="00E50DEF">
        <w:rPr>
          <w:spacing w:val="-2"/>
        </w:rPr>
        <w:t>.), процедуру выполнения курсовой работы, не предусмотренной учебным планом зарубежного учебного</w:t>
      </w:r>
      <w:proofErr w:type="gramEnd"/>
      <w:r w:rsidRPr="00E50DEF">
        <w:rPr>
          <w:spacing w:val="-2"/>
        </w:rPr>
        <w:t xml:space="preserve"> заведения, дистанционное изучение дисциплины, не оказавше</w:t>
      </w:r>
      <w:r w:rsidRPr="00E50DEF">
        <w:rPr>
          <w:spacing w:val="-2"/>
        </w:rPr>
        <w:t>й</w:t>
      </w:r>
      <w:r w:rsidRPr="00E50DEF">
        <w:rPr>
          <w:spacing w:val="-2"/>
        </w:rPr>
        <w:t xml:space="preserve">ся в учебном плане зарубежного учебного заведения, оговаривает общение со студентом (по электронной почте, по скайпу) во время его учебы за границей. Настоятельно рекомендуется </w:t>
      </w:r>
      <w:r w:rsidRPr="00E50DEF">
        <w:rPr>
          <w:spacing w:val="-2"/>
        </w:rPr>
        <w:lastRenderedPageBreak/>
        <w:t>согласовать с преподавателем план изучения и аттестации по дисциплине, аналогов которой нет в учебном плане зарубежного учебного заведения.</w:t>
      </w:r>
    </w:p>
    <w:p w:rsidR="00077DC9" w:rsidRPr="00E50DEF" w:rsidRDefault="00077DC9" w:rsidP="00E50D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 w:rsidRPr="00E50DEF">
        <w:rPr>
          <w:spacing w:val="-2"/>
        </w:rPr>
        <w:t>Выполнив вышеуказанные согласования, студент встречается с заведующим учебной частью учебного заведения и после получения его одобрения представляет завизированный им проект соглашения об обучении для подписания директору техникума. Подписанное со стор</w:t>
      </w:r>
      <w:r w:rsidRPr="00E50DEF">
        <w:rPr>
          <w:spacing w:val="-2"/>
        </w:rPr>
        <w:t>о</w:t>
      </w:r>
      <w:r w:rsidRPr="00E50DEF">
        <w:rPr>
          <w:spacing w:val="-2"/>
        </w:rPr>
        <w:t>ны учебного заведения студента соглашение направляется по электронной почте в зарубежное учебное заведение, где оно рассматривается.</w:t>
      </w:r>
    </w:p>
    <w:p w:rsidR="00077DC9" w:rsidRPr="00E50DEF" w:rsidRDefault="00077DC9" w:rsidP="00E50D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 w:rsidRPr="00E50DEF">
        <w:rPr>
          <w:spacing w:val="-2"/>
        </w:rPr>
        <w:t>Получив приглашение на обучение</w:t>
      </w:r>
      <w:r w:rsidR="0057471B" w:rsidRPr="00E50DEF">
        <w:rPr>
          <w:spacing w:val="-2"/>
        </w:rPr>
        <w:t xml:space="preserve"> от зарубежной организации</w:t>
      </w:r>
      <w:r w:rsidRPr="00E50DEF">
        <w:rPr>
          <w:spacing w:val="-2"/>
        </w:rPr>
        <w:t>, студент начинает з</w:t>
      </w:r>
      <w:r w:rsidRPr="00E50DEF">
        <w:rPr>
          <w:spacing w:val="-2"/>
        </w:rPr>
        <w:t>а</w:t>
      </w:r>
      <w:r w:rsidRPr="00E50DEF">
        <w:rPr>
          <w:spacing w:val="-2"/>
        </w:rPr>
        <w:t xml:space="preserve">ниматься подготовкой к выезду за рубеж </w:t>
      </w:r>
      <w:r w:rsidR="00E50DEF">
        <w:rPr>
          <w:spacing w:val="-2"/>
        </w:rPr>
        <w:t>-</w:t>
      </w:r>
      <w:r w:rsidRPr="00E50DEF">
        <w:rPr>
          <w:spacing w:val="-2"/>
        </w:rPr>
        <w:t xml:space="preserve"> проработкой маршрута, вида транспорта, бронир</w:t>
      </w:r>
      <w:r w:rsidRPr="00E50DEF">
        <w:rPr>
          <w:spacing w:val="-2"/>
        </w:rPr>
        <w:t>о</w:t>
      </w:r>
      <w:r w:rsidRPr="00E50DEF">
        <w:rPr>
          <w:spacing w:val="-2"/>
        </w:rPr>
        <w:t xml:space="preserve">ванием (приобретением) </w:t>
      </w:r>
      <w:r w:rsidR="00515D8C" w:rsidRPr="00E50DEF">
        <w:rPr>
          <w:spacing w:val="-2"/>
        </w:rPr>
        <w:t xml:space="preserve">билетов, </w:t>
      </w:r>
      <w:r w:rsidRPr="00E50DEF">
        <w:rPr>
          <w:spacing w:val="-2"/>
        </w:rPr>
        <w:t>бронированием места в общежитии, оформлением медици</w:t>
      </w:r>
      <w:r w:rsidRPr="00E50DEF">
        <w:rPr>
          <w:spacing w:val="-2"/>
        </w:rPr>
        <w:t>н</w:t>
      </w:r>
      <w:r w:rsidRPr="00E50DEF">
        <w:rPr>
          <w:spacing w:val="-2"/>
        </w:rPr>
        <w:t>ской страховки и визы на срок обучения.</w:t>
      </w:r>
    </w:p>
    <w:p w:rsidR="0057471B" w:rsidRPr="00E50DEF" w:rsidRDefault="0057471B" w:rsidP="00E5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A67FE" w:rsidRPr="00E50DEF" w:rsidRDefault="00E50DEF" w:rsidP="00E50DE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0"/>
          <w:szCs w:val="20"/>
        </w:rPr>
      </w:pPr>
      <w:r w:rsidRPr="00E50DEF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>Использованы материалы источника</w:t>
      </w:r>
      <w:r w:rsidR="00BE3A23" w:rsidRPr="00E50DE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: </w:t>
      </w:r>
      <w:hyperlink r:id="rId7" w:history="1">
        <w:r w:rsidR="00BE3A23" w:rsidRPr="00E50DEF">
          <w:rPr>
            <w:rStyle w:val="a3"/>
            <w:rFonts w:ascii="Times New Roman" w:hAnsi="Times New Roman" w:cs="Times New Roman"/>
            <w:sz w:val="20"/>
            <w:szCs w:val="20"/>
          </w:rPr>
          <w:t>http://www.studyabroad.ru/guide/italy/timeline/</w:t>
        </w:r>
      </w:hyperlink>
    </w:p>
    <w:p w:rsidR="00BE3A23" w:rsidRPr="00E50DEF" w:rsidRDefault="00BE3A23" w:rsidP="00E50D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700B" w:rsidRPr="00E50DEF" w:rsidRDefault="008D056A" w:rsidP="00E50D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0DE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28700B" w:rsidRPr="00E50DEF" w:rsidRDefault="0028700B" w:rsidP="00E50DEF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3"/>
        <w:gridCol w:w="1901"/>
      </w:tblGrid>
      <w:tr w:rsidR="0057471B" w:rsidRPr="00E50DEF" w:rsidTr="00E50DEF">
        <w:tc>
          <w:tcPr>
            <w:tcW w:w="7988" w:type="dxa"/>
          </w:tcPr>
          <w:p w:rsidR="0057471B" w:rsidRPr="00E50DEF" w:rsidRDefault="0057471B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В качестве структуры предложена блок-схема:</w:t>
            </w:r>
          </w:p>
        </w:tc>
        <w:tc>
          <w:tcPr>
            <w:tcW w:w="1901" w:type="dxa"/>
          </w:tcPr>
          <w:p w:rsidR="0057471B" w:rsidRPr="00E50DEF" w:rsidRDefault="0057471B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7471B" w:rsidRPr="00E50DEF" w:rsidTr="00E50DEF">
        <w:tc>
          <w:tcPr>
            <w:tcW w:w="7988" w:type="dxa"/>
          </w:tcPr>
          <w:p w:rsidR="0057471B" w:rsidRPr="00E50DEF" w:rsidRDefault="0057471B" w:rsidP="00E50DEF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В качестве структуры предложен нумерованный список или та</w:t>
            </w: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лица, одна колонка которой – нумерованный список, а вторая оставлена для комментариев</w:t>
            </w:r>
          </w:p>
        </w:tc>
        <w:tc>
          <w:tcPr>
            <w:tcW w:w="1901" w:type="dxa"/>
          </w:tcPr>
          <w:p w:rsidR="0057471B" w:rsidRPr="00E50DEF" w:rsidRDefault="0057471B" w:rsidP="00E50DEF">
            <w:p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57471B" w:rsidRPr="00E50DEF" w:rsidTr="00E50DEF">
        <w:tc>
          <w:tcPr>
            <w:tcW w:w="7988" w:type="dxa"/>
          </w:tcPr>
          <w:p w:rsidR="0057471B" w:rsidRPr="00E50DEF" w:rsidRDefault="0057471B" w:rsidP="00E50DEF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Иная структура или неструктурированный текст</w:t>
            </w:r>
          </w:p>
        </w:tc>
        <w:tc>
          <w:tcPr>
            <w:tcW w:w="1901" w:type="dxa"/>
          </w:tcPr>
          <w:p w:rsidR="0057471B" w:rsidRPr="00E50DEF" w:rsidRDefault="0057471B" w:rsidP="00E50DEF">
            <w:p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баллов, проверка прекращена</w:t>
            </w:r>
          </w:p>
        </w:tc>
      </w:tr>
      <w:tr w:rsidR="0057471B" w:rsidRPr="00E50DEF" w:rsidTr="00E50DEF">
        <w:tc>
          <w:tcPr>
            <w:tcW w:w="7988" w:type="dxa"/>
          </w:tcPr>
          <w:p w:rsidR="0057471B" w:rsidRPr="00E50DEF" w:rsidRDefault="0057471B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Отсутствует шаг «подача заявления в учебную часть»</w:t>
            </w:r>
          </w:p>
        </w:tc>
        <w:tc>
          <w:tcPr>
            <w:tcW w:w="1901" w:type="dxa"/>
          </w:tcPr>
          <w:p w:rsidR="0057471B" w:rsidRPr="00E50DEF" w:rsidRDefault="0057471B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7471B" w:rsidRPr="00E50DEF" w:rsidTr="00E50DEF">
        <w:tc>
          <w:tcPr>
            <w:tcW w:w="7988" w:type="dxa"/>
          </w:tcPr>
          <w:p w:rsidR="0057471B" w:rsidRPr="00E50DEF" w:rsidRDefault="001A7834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шаг </w:t>
            </w:r>
          </w:p>
          <w:p w:rsidR="001A7834" w:rsidRPr="00E50DEF" w:rsidRDefault="001A7834" w:rsidP="00E50D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шаги могут быть укрупнены или детализированы в сравнении с примером верного ответа)</w:t>
            </w:r>
          </w:p>
        </w:tc>
        <w:tc>
          <w:tcPr>
            <w:tcW w:w="1901" w:type="dxa"/>
          </w:tcPr>
          <w:p w:rsidR="0057471B" w:rsidRPr="00E50DEF" w:rsidRDefault="0057471B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A7834" w:rsidRPr="00E50DEF" w:rsidTr="00E50DEF">
        <w:tc>
          <w:tcPr>
            <w:tcW w:w="7988" w:type="dxa"/>
          </w:tcPr>
          <w:p w:rsidR="001A7834" w:rsidRPr="00E50DEF" w:rsidRDefault="001A7834" w:rsidP="00E50DEF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01" w:type="dxa"/>
          </w:tcPr>
          <w:p w:rsidR="001A7834" w:rsidRPr="00E50DEF" w:rsidRDefault="001A7834" w:rsidP="00E50DEF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13 баллов</w:t>
            </w:r>
          </w:p>
        </w:tc>
      </w:tr>
      <w:tr w:rsidR="0057471B" w:rsidRPr="00E50DEF" w:rsidTr="00E50DEF">
        <w:tc>
          <w:tcPr>
            <w:tcW w:w="7988" w:type="dxa"/>
          </w:tcPr>
          <w:p w:rsidR="0057471B" w:rsidRPr="00E50DEF" w:rsidRDefault="001A7834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За каждое условие</w:t>
            </w:r>
          </w:p>
        </w:tc>
        <w:tc>
          <w:tcPr>
            <w:tcW w:w="1901" w:type="dxa"/>
          </w:tcPr>
          <w:p w:rsidR="0057471B" w:rsidRPr="00E50DEF" w:rsidRDefault="001A7834" w:rsidP="00E5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71B" w:rsidRPr="00E50DE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E50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A7834" w:rsidRPr="00E50DEF" w:rsidTr="00E50DEF">
        <w:tc>
          <w:tcPr>
            <w:tcW w:w="7988" w:type="dxa"/>
          </w:tcPr>
          <w:p w:rsidR="001A7834" w:rsidRPr="00E50DEF" w:rsidRDefault="001A7834" w:rsidP="00E50DEF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01" w:type="dxa"/>
          </w:tcPr>
          <w:p w:rsidR="001A7834" w:rsidRPr="00E50DEF" w:rsidRDefault="001A7834" w:rsidP="00E50DEF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1A7834" w:rsidRPr="00E50DEF" w:rsidTr="00E50DEF">
        <w:tc>
          <w:tcPr>
            <w:tcW w:w="7988" w:type="dxa"/>
          </w:tcPr>
          <w:p w:rsidR="001A7834" w:rsidRPr="00E50DEF" w:rsidRDefault="001A7834" w:rsidP="00E5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0D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01" w:type="dxa"/>
          </w:tcPr>
          <w:p w:rsidR="001A7834" w:rsidRPr="00E50DEF" w:rsidRDefault="001A7834" w:rsidP="00E50D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баллов</w:t>
            </w:r>
          </w:p>
        </w:tc>
      </w:tr>
    </w:tbl>
    <w:p w:rsidR="0028700B" w:rsidRPr="00E50DEF" w:rsidRDefault="0028700B" w:rsidP="00E50D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0DEF" w:rsidRDefault="00E50DEF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8178C" w:rsidRDefault="0098178C" w:rsidP="00E50DEF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0DEF">
        <w:rPr>
          <w:rFonts w:ascii="Times New Roman" w:hAnsi="Times New Roman" w:cs="Times New Roman"/>
          <w:i/>
          <w:sz w:val="24"/>
          <w:szCs w:val="24"/>
        </w:rPr>
        <w:lastRenderedPageBreak/>
        <w:t>Пример верного ответа</w:t>
      </w:r>
    </w:p>
    <w:p w:rsidR="00E50DEF" w:rsidRPr="00E50DEF" w:rsidRDefault="00E50DEF" w:rsidP="00E50DEF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B64A78" w:rsidRPr="00E50DEF" w:rsidRDefault="005A7C8D" w:rsidP="00E50DEF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  <w:pict>
          <v:group id="_x0000_s1101" style="width:468.3pt;height:689.15pt;mso-position-horizontal-relative:char;mso-position-vertical-relative:line" coordorigin="1692,1052" coordsize="8979,145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752;top:4868;width:762;height:414" stroked="f">
              <v:textbox style="mso-next-textbox:#_x0000_s1060">
                <w:txbxContent>
                  <w:p w:rsidR="00956812" w:rsidRPr="00904037" w:rsidRDefault="00956812" w:rsidP="00956812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403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Нет</w:t>
                    </w:r>
                  </w:p>
                </w:txbxContent>
              </v:textbox>
            </v:shape>
            <v:rect id="_x0000_s1032" style="position:absolute;left:2664;top:1052;width:6342;height:578">
              <v:textbox style="mso-next-textbox:#_x0000_s1032">
                <w:txbxContent>
                  <w:p w:rsidR="00B64A78" w:rsidRPr="00B64A78" w:rsidRDefault="0057471B" w:rsidP="00B64A7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Определение дисциплин для изучения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5869;top:1630;width:1;height:283" o:connectortype="straight">
              <v:stroke endarrow="block"/>
            </v:shape>
            <v:rect id="_x0000_s1034" style="position:absolute;left:2664;top:1960;width:6399;height:1077">
              <v:textbox style="mso-next-textbox:#_x0000_s1034">
                <w:txbxContent>
                  <w:p w:rsidR="0057471B" w:rsidRPr="00E50DEF" w:rsidRDefault="00B64A78" w:rsidP="00B64A78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E50DE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Согласование семестрового обучения </w:t>
                    </w:r>
                    <w:r w:rsidR="0057471B" w:rsidRPr="00E50DE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\ </w:t>
                    </w:r>
                    <w:proofErr w:type="gramStart"/>
                    <w:r w:rsidR="0057471B" w:rsidRPr="00E50DE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обучения</w:t>
                    </w:r>
                    <w:proofErr w:type="gramEnd"/>
                    <w:r w:rsidR="0057471B" w:rsidRPr="00E50DE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по дисципл</w:t>
                    </w:r>
                    <w:r w:rsidR="0057471B" w:rsidRPr="00E50DE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и</w:t>
                    </w:r>
                    <w:r w:rsidR="0057471B" w:rsidRPr="00E50DE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нам, отсутствующим в учебном плане зарубежной организации, с преподавателями</w:t>
                    </w:r>
                  </w:p>
                </w:txbxContent>
              </v:textbox>
            </v:rect>
            <v:shape id="_x0000_s1048" type="#_x0000_t32" style="position:absolute;left:5868;top:3037;width:1;height:283" o:connectortype="straight">
              <v:stroke endarrow="block"/>
            </v:shape>
            <v:rect id="_x0000_s1049" style="position:absolute;left:2664;top:3320;width:6399;height:1180">
              <v:textbox style="mso-next-textbox:#_x0000_s1049">
                <w:txbxContent>
                  <w:p w:rsidR="00956812" w:rsidRDefault="00956812" w:rsidP="0095681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Составление проекта соглашения \ договора между образов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тельными организациями (об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</w:rPr>
                      <w:t>обучении по обмену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</w:rPr>
                      <w:t>)</w:t>
                    </w:r>
                  </w:p>
                </w:txbxContent>
              </v:textbox>
            </v:rect>
            <v:shape id="_x0000_s1050" type="#_x0000_t32" style="position:absolute;left:5797;top:4500;width:1;height:283" o:connectortype="straight">
              <v:stroke endarrow="block"/>
            </v:shape>
            <v:shape id="_x0000_s1052" type="#_x0000_t32" style="position:absolute;left:5798;top:5402;width:1;height:510" o:connectortype="straight">
              <v:stroke endarrow="block"/>
            </v:shape>
            <v:shape id="_x0000_s1054" type="#_x0000_t202" style="position:absolute;left:5868;top:5448;width:696;height:414" stroked="f">
              <v:textbox style="mso-next-textbox:#_x0000_s1054">
                <w:txbxContent>
                  <w:p w:rsidR="00956812" w:rsidRPr="00904037" w:rsidRDefault="00956812" w:rsidP="00956812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403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shape>
            <v:rect id="_x0000_s1051" style="position:absolute;left:2664;top:4848;width:6399;height:540">
              <v:textbox style="mso-next-textbox:#_x0000_s1051">
                <w:txbxContent>
                  <w:p w:rsidR="00956812" w:rsidRDefault="00956812" w:rsidP="0095681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Визирование соглашения в учебном отделе</w:t>
                    </w:r>
                  </w:p>
                </w:txbxContent>
              </v:textbox>
            </v:rect>
            <v:rect id="_x0000_s1053" style="position:absolute;left:2607;top:5910;width:6399;height:514">
              <v:textbox style="mso-next-textbox:#_x0000_s1053">
                <w:txbxContent>
                  <w:p w:rsidR="00956812" w:rsidRDefault="000F4A7D" w:rsidP="0095681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Подписание проекта соглашения у директора </w:t>
                    </w:r>
                  </w:p>
                </w:txbxContent>
              </v:textbox>
            </v:rect>
            <v:shape id="_x0000_s1055" type="#_x0000_t32" style="position:absolute;left:2454;top:5616;width:2442;height:0;flip:x" o:connectortype="straight"/>
            <v:shape id="_x0000_s1056" type="#_x0000_t32" style="position:absolute;left:2454;top:4244;width:0;height:1361;flip:y" o:connectortype="straight"/>
            <v:shape id="_x0000_s1057" type="#_x0000_t32" style="position:absolute;left:2454;top:4220;width:210;height:0" o:connectortype="straight">
              <v:stroke endarrow="block"/>
            </v:shape>
            <v:shape id="_x0000_s1059" type="#_x0000_t32" style="position:absolute;left:4896;top:5402;width:0;height:222;flip:y" o:connectortype="straight"/>
            <v:shape id="_x0000_s1062" type="#_x0000_t32" style="position:absolute;left:5799;top:6424;width:1;height:283" o:connectortype="straight">
              <v:stroke endarrow="block"/>
            </v:shape>
            <v:rect id="_x0000_s1063" style="position:absolute;left:2607;top:6707;width:6399;height:754">
              <v:textbox style="mso-next-textbox:#_x0000_s1063">
                <w:txbxContent>
                  <w:p w:rsidR="000F4A7D" w:rsidRPr="00E50DEF" w:rsidRDefault="000F4A7D" w:rsidP="000F4A7D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E50DE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Направление подписанного соглашения организации-партнеру </w:t>
                    </w:r>
                  </w:p>
                </w:txbxContent>
              </v:textbox>
            </v:rect>
            <v:group id="_x0000_s1100" style="position:absolute;left:1692;top:7474;width:8979;height:8090" coordorigin="1692,7474" coordsize="8979,8090">
              <v:rect id="_x0000_s1043" style="position:absolute;left:1783;top:9188;width:1701;height:483">
                <v:textbox style="mso-next-textbox:#_x0000_s1043">
                  <w:txbxContent>
                    <w:p w:rsidR="00961F3C" w:rsidRPr="00B64A78" w:rsidRDefault="00E90449" w:rsidP="00961F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Нет</w:t>
                      </w:r>
                    </w:p>
                  </w:txbxContent>
                </v:textbox>
              </v:rect>
              <v:rect id="_x0000_s1044" style="position:absolute;left:9063;top:9035;width:1608;height:456">
                <v:textbox style="mso-next-textbox:#_x0000_s1044">
                  <w:txbxContent>
                    <w:p w:rsidR="00961F3C" w:rsidRPr="00B64A78" w:rsidRDefault="00E90449" w:rsidP="00961F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Да</w:t>
                      </w:r>
                    </w:p>
                  </w:txbxContent>
                </v:textbox>
              </v:rect>
              <v:shape id="_x0000_s1045" type="#_x0000_t32" style="position:absolute;left:9516;top:8579;width:0;height:445" o:connectortype="straight">
                <v:stroke endarrow="block"/>
              </v:shape>
              <v:group id="_x0000_s1069" style="position:absolute;left:3484;top:7474;width:4666;height:1934" coordorigin="3689,7274" coordsize="4666,2116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66" type="#_x0000_t4" style="position:absolute;left:3689;top:7626;width:4666;height:1764"/>
                <v:shape id="_x0000_s1064" type="#_x0000_t32" style="position:absolute;left:5976;top:7274;width:1;height:382" o:connectortype="straight">
                  <v:stroke endarrow="block"/>
                </v:shape>
                <v:shape id="_x0000_s1065" type="#_x0000_t202" style="position:absolute;left:4491;top:8178;width:3039;height:780" stroked="f">
                  <v:textbox style="mso-next-textbox:#_x0000_s1065">
                    <w:txbxContent>
                      <w:p w:rsidR="000F4A7D" w:rsidRPr="00E50DEF" w:rsidRDefault="000F4A7D" w:rsidP="000F4A7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50DEF">
                          <w:rPr>
                            <w:rFonts w:ascii="Times New Roman" w:hAnsi="Times New Roman" w:cs="Times New Roman"/>
                          </w:rPr>
                          <w:t xml:space="preserve">Соглашение подписано </w:t>
                        </w:r>
                        <w:r w:rsidR="00E50DEF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E50DEF">
                          <w:rPr>
                            <w:rFonts w:ascii="Times New Roman" w:hAnsi="Times New Roman" w:cs="Times New Roman"/>
                          </w:rPr>
                          <w:t>партнером</w:t>
                        </w:r>
                      </w:p>
                    </w:txbxContent>
                  </v:textbox>
                </v:shape>
                <v:shape id="_x0000_s1067" type="#_x0000_t32" style="position:absolute;left:4506;top:8814;width:390;height:156;flip:x y" o:connectortype="straight"/>
                <v:shape id="_x0000_s1068" type="#_x0000_t32" style="position:absolute;left:7098;top:8796;width:474;height:186;flip:y" o:connectortype="straight"/>
              </v:group>
              <v:shape id="_x0000_s1072" type="#_x0000_t32" style="position:absolute;left:8150;top:8579;width:1366;height:0;flip:y" o:connectortype="straight"/>
              <v:shape id="_x0000_s1073" type="#_x0000_t32" style="position:absolute;left:2256;top:8593;width:1288;height:0;flip:x" o:connectortype="straight"/>
              <v:shape id="_x0000_s1074" type="#_x0000_t32" style="position:absolute;left:2256;top:8612;width:0;height:564" o:connectortype="straight">
                <v:stroke endarrow="block"/>
              </v:shape>
              <v:shape id="_x0000_s1085" type="#_x0000_t202" style="position:absolute;left:3695;top:13907;width:3881;height:907">
                <v:textbox style="mso-next-textbox:#_x0000_s1085">
                  <w:txbxContent>
                    <w:p w:rsidR="00D73A28" w:rsidRPr="001F5EFC" w:rsidRDefault="00D73A28" w:rsidP="00D73A2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eastAsia="ru-RU"/>
                        </w:rPr>
                      </w:pPr>
                      <w:r w:rsidRPr="001F5EFC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eastAsia="ru-RU"/>
                        </w:rPr>
                        <w:t>Оформление медицинской страховки (в в</w:t>
                      </w:r>
                      <w:r w:rsidRPr="001F5EFC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eastAsia="ru-RU"/>
                        </w:rPr>
                        <w:t>и</w:t>
                      </w:r>
                      <w:r w:rsidRPr="001F5EFC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eastAsia="ru-RU"/>
                        </w:rPr>
                        <w:t>зовом центре) и подача документов на визу</w:t>
                      </w:r>
                    </w:p>
                    <w:p w:rsidR="00D73A28" w:rsidRDefault="00D73A28"/>
                  </w:txbxContent>
                </v:textbox>
              </v:shape>
              <v:group id="_x0000_s1095" style="position:absolute;left:3945;top:9491;width:6498;height:4416" coordorigin="3150,10068" coordsize="6498,4416">
                <v:rect id="_x0000_s1088" style="position:absolute;left:3759;top:13749;width:5268;height:471">
                  <v:textbox style="mso-next-textbox:#_x0000_s1088">
                    <w:txbxContent>
                      <w:p w:rsidR="00D73A28" w:rsidRPr="00904037" w:rsidRDefault="00D73A28" w:rsidP="00D73A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403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Сделать копию соглашения и студенческого билета</w:t>
                        </w:r>
                      </w:p>
                    </w:txbxContent>
                  </v:textbox>
                </v:rect>
                <v:rect id="_x0000_s1079" style="position:absolute;left:3759;top:10248;width:5232;height:483">
                  <v:textbox style="mso-next-textbox:#_x0000_s1079">
                    <w:txbxContent>
                      <w:p w:rsidR="00E90449" w:rsidRPr="00B64A78" w:rsidRDefault="00E90449" w:rsidP="00E90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Сфотографироваться</w:t>
                        </w:r>
                      </w:p>
                    </w:txbxContent>
                  </v:textbox>
                </v:rect>
                <v:rect id="_x0000_s1080" style="position:absolute;left:3759;top:10830;width:5268;height:483">
                  <v:textbox style="mso-next-textbox:#_x0000_s1080">
                    <w:txbxContent>
                      <w:p w:rsidR="00E90449" w:rsidRPr="00B64A78" w:rsidRDefault="00E90449" w:rsidP="00E90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Заполнить анкету</w:t>
                        </w:r>
                      </w:p>
                    </w:txbxContent>
                  </v:textbox>
                </v:rect>
                <v:rect id="_x0000_s1081" style="position:absolute;left:3759;top:11418;width:5268;height:918">
                  <v:textbox style="mso-next-textbox:#_x0000_s1081">
                    <w:txbxContent>
                      <w:p w:rsidR="00E90449" w:rsidRPr="00904037" w:rsidRDefault="00E90449" w:rsidP="00E90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04037">
                          <w:rPr>
                            <w:rFonts w:ascii="Times New Roman" w:hAnsi="Times New Roman" w:cs="Times New Roman"/>
                          </w:rPr>
                          <w:t xml:space="preserve">Взять </w:t>
                        </w:r>
                        <w:r w:rsidRPr="00904037">
                          <w:rPr>
                            <w:rFonts w:ascii="Times New Roman" w:eastAsia="Times New Roman" w:hAnsi="Times New Roman" w:cs="Times New Roman"/>
                            <w:spacing w:val="-2"/>
                            <w:lang w:eastAsia="ru-RU"/>
                          </w:rPr>
                          <w:t>выписку о состоянии счета \ чек из банкомата и откопировать карту \ откопировать сберкнижку</w:t>
                        </w:r>
                        <w:proofErr w:type="gramStart"/>
                        <w:r w:rsidRPr="00904037">
                          <w:rPr>
                            <w:rFonts w:ascii="Times New Roman" w:eastAsia="Times New Roman" w:hAnsi="Times New Roman" w:cs="Times New Roman"/>
                            <w:spacing w:val="-2"/>
                            <w:lang w:eastAsia="ru-RU"/>
                          </w:rPr>
                          <w:t xml:space="preserve"> \\ П</w:t>
                        </w:r>
                        <w:proofErr w:type="gramEnd"/>
                        <w:r w:rsidRPr="00904037">
                          <w:rPr>
                            <w:rFonts w:ascii="Times New Roman" w:eastAsia="Times New Roman" w:hAnsi="Times New Roman" w:cs="Times New Roman"/>
                            <w:spacing w:val="-2"/>
                            <w:lang w:eastAsia="ru-RU"/>
                          </w:rPr>
                          <w:t>о</w:t>
                        </w:r>
                        <w:r w:rsidRPr="00904037">
                          <w:rPr>
                            <w:rFonts w:ascii="Times New Roman" w:eastAsia="Times New Roman" w:hAnsi="Times New Roman" w:cs="Times New Roman"/>
                            <w:spacing w:val="-2"/>
                            <w:lang w:eastAsia="ru-RU"/>
                          </w:rPr>
                          <w:t>д</w:t>
                        </w:r>
                        <w:r w:rsidRPr="00904037">
                          <w:rPr>
                            <w:rFonts w:ascii="Times New Roman" w:eastAsia="Times New Roman" w:hAnsi="Times New Roman" w:cs="Times New Roman"/>
                            <w:spacing w:val="-2"/>
                            <w:lang w:eastAsia="ru-RU"/>
                          </w:rPr>
                          <w:t>готовить документы для финансовой гарантии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82" type="#_x0000_t85" style="position:absolute;left:3545;top:10419;width:148;height:3573"/>
                <v:shape id="_x0000_s1083" type="#_x0000_t32" style="position:absolute;left:3150;top:11505;width:395;height:0;flip:x" o:connectortype="straight"/>
                <v:shape id="_x0000_s1084" type="#_x0000_t32" style="position:absolute;left:3150;top:11502;width:0;height:2982" o:connectortype="straight">
                  <v:stroke endarrow="block"/>
                </v:shape>
                <v:rect id="_x0000_s1086" style="position:absolute;left:3738;top:12480;width:5268;height:483">
                  <v:textbox style="mso-next-textbox:#_x0000_s1086">
                    <w:txbxContent>
                      <w:p w:rsidR="00D73A28" w:rsidRPr="00B64A78" w:rsidRDefault="00D73A28" w:rsidP="00D73A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Забронировать биле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т(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-ы)</w:t>
                        </w:r>
                      </w:p>
                    </w:txbxContent>
                  </v:textbox>
                </v:rect>
                <v:rect id="_x0000_s1087" style="position:absolute;left:3738;top:13110;width:5268;height:483">
                  <v:textbox style="mso-next-textbox:#_x0000_s1087">
                    <w:txbxContent>
                      <w:p w:rsidR="00D73A28" w:rsidRPr="00B64A78" w:rsidRDefault="00D73A28" w:rsidP="00D73A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Забронировать место в общежитии</w:t>
                        </w:r>
                      </w:p>
                    </w:txbxContent>
                  </v:textbox>
                </v:rect>
                <v:shape id="_x0000_s1075" type="#_x0000_t32" style="position:absolute;left:9639;top:10068;width:0;height:3924" o:connectortype="straight"/>
                <v:shape id="_x0000_s1076" type="#_x0000_t32" style="position:absolute;left:8970;top:10524;width:639;height:0;flip:x" o:connectortype="straight">
                  <v:stroke endarrow="block"/>
                </v:shape>
                <v:shape id="_x0000_s1077" type="#_x0000_t32" style="position:absolute;left:9027;top:11052;width:597;height:0;flip:x" o:connectortype="straight">
                  <v:stroke endarrow="block"/>
                </v:shape>
                <v:shape id="_x0000_s1078" type="#_x0000_t32" style="position:absolute;left:9051;top:11857;width:597;height:0;flip:x" o:connectortype="straight">
                  <v:stroke endarrow="block"/>
                </v:shape>
                <v:shape id="_x0000_s1092" type="#_x0000_t32" style="position:absolute;left:9006;top:12732;width:597;height:0;flip:x" o:connectortype="straight">
                  <v:stroke endarrow="block"/>
                </v:shape>
                <v:shape id="_x0000_s1093" type="#_x0000_t32" style="position:absolute;left:9006;top:13320;width:597;height:0;flip:x" o:connectortype="straight">
                  <v:stroke endarrow="block"/>
                </v:shape>
                <v:shape id="_x0000_s1094" type="#_x0000_t32" style="position:absolute;left:9051;top:13992;width:597;height:0;flip:x" o:connectortype="straight">
                  <v:stroke endarrow="block"/>
                </v:shape>
              </v:group>
              <v:shape id="_x0000_s1096" type="#_x0000_t202" style="position:absolute;left:1692;top:15060;width:3881;height:504">
                <v:textbox style="mso-next-textbox:#_x0000_s1096">
                  <w:txbxContent>
                    <w:p w:rsidR="00904037" w:rsidRPr="00904037" w:rsidRDefault="00904037" w:rsidP="00904037">
                      <w:pPr>
                        <w:jc w:val="center"/>
                        <w:rPr>
                          <w:i/>
                        </w:rPr>
                      </w:pPr>
                      <w:r w:rsidRPr="00904037"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  <w:sz w:val="24"/>
                          <w:szCs w:val="24"/>
                          <w:lang w:eastAsia="ru-RU"/>
                        </w:rPr>
                        <w:t>КОНЕЦ</w:t>
                      </w:r>
                    </w:p>
                  </w:txbxContent>
                </v:textbox>
              </v:shape>
              <v:shape id="_x0000_s1097" type="#_x0000_t32" style="position:absolute;left:2256;top:9689;width:0;height:5371" o:connectortype="straight">
                <v:stroke endarrow="block"/>
              </v:shape>
              <v:shape id="_x0000_s1098" type="#_x0000_t32" style="position:absolute;left:3945;top:14807;width:0;height:253" o:connectortype="straight">
                <v:stroke endarrow="block"/>
              </v:shape>
            </v:group>
            <w10:wrap type="none"/>
            <w10:anchorlock/>
          </v:group>
        </w:pict>
      </w:r>
    </w:p>
    <w:sectPr w:rsidR="00B64A78" w:rsidRPr="00E50DEF" w:rsidSect="00E50D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9C2"/>
    <w:multiLevelType w:val="hybridMultilevel"/>
    <w:tmpl w:val="CB1C876E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9138FA"/>
    <w:multiLevelType w:val="multilevel"/>
    <w:tmpl w:val="B0F2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1565E"/>
    <w:multiLevelType w:val="hybridMultilevel"/>
    <w:tmpl w:val="4BF6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29BF"/>
    <w:rsid w:val="00077980"/>
    <w:rsid w:val="00077DC9"/>
    <w:rsid w:val="000F4A7D"/>
    <w:rsid w:val="001325DC"/>
    <w:rsid w:val="001A7834"/>
    <w:rsid w:val="001D4682"/>
    <w:rsid w:val="001D5998"/>
    <w:rsid w:val="001F5EFC"/>
    <w:rsid w:val="0020309F"/>
    <w:rsid w:val="00225EE9"/>
    <w:rsid w:val="0028700B"/>
    <w:rsid w:val="0029760D"/>
    <w:rsid w:val="00303C30"/>
    <w:rsid w:val="003108B6"/>
    <w:rsid w:val="003629BF"/>
    <w:rsid w:val="003A23AA"/>
    <w:rsid w:val="00481DB3"/>
    <w:rsid w:val="00514168"/>
    <w:rsid w:val="00515D8C"/>
    <w:rsid w:val="0057471B"/>
    <w:rsid w:val="005A7C8D"/>
    <w:rsid w:val="00675AAF"/>
    <w:rsid w:val="007632B6"/>
    <w:rsid w:val="007D4130"/>
    <w:rsid w:val="007E59C0"/>
    <w:rsid w:val="00845F5E"/>
    <w:rsid w:val="00875F6D"/>
    <w:rsid w:val="008D056A"/>
    <w:rsid w:val="00904037"/>
    <w:rsid w:val="009275FA"/>
    <w:rsid w:val="00956812"/>
    <w:rsid w:val="00956E86"/>
    <w:rsid w:val="00961F3C"/>
    <w:rsid w:val="0098178C"/>
    <w:rsid w:val="009C36BB"/>
    <w:rsid w:val="00AE291F"/>
    <w:rsid w:val="00B64A78"/>
    <w:rsid w:val="00B64BC2"/>
    <w:rsid w:val="00B7172B"/>
    <w:rsid w:val="00B74B02"/>
    <w:rsid w:val="00BE3A23"/>
    <w:rsid w:val="00BE530E"/>
    <w:rsid w:val="00C0692B"/>
    <w:rsid w:val="00C6734F"/>
    <w:rsid w:val="00C92BE7"/>
    <w:rsid w:val="00CA67FE"/>
    <w:rsid w:val="00D73A28"/>
    <w:rsid w:val="00E50DEF"/>
    <w:rsid w:val="00E90449"/>
    <w:rsid w:val="00E96FF5"/>
    <w:rsid w:val="00EA270D"/>
    <w:rsid w:val="00EB548A"/>
    <w:rsid w:val="00F132F5"/>
    <w:rsid w:val="00F4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_x0000_s1033"/>
        <o:r id="V:Rule2" type="connector" idref="#_x0000_s1048"/>
        <o:r id="V:Rule3" type="connector" idref="#_x0000_s1045"/>
        <o:r id="V:Rule4" type="connector" idref="#_x0000_s1074"/>
        <o:r id="V:Rule5" type="connector" idref="#_x0000_s1097"/>
        <o:r id="V:Rule6" type="connector" idref="#_x0000_s1055"/>
        <o:r id="V:Rule7" type="connector" idref="#_x0000_s1075"/>
        <o:r id="V:Rule8" type="connector" idref="#_x0000_s1077"/>
        <o:r id="V:Rule9" type="connector" idref="#_x0000_s1057"/>
        <o:r id="V:Rule10" type="connector" idref="#_x0000_s1062"/>
        <o:r id="V:Rule11" type="connector" idref="#_x0000_s1067"/>
        <o:r id="V:Rule12" type="connector" idref="#_x0000_s1050"/>
        <o:r id="V:Rule13" type="connector" idref="#_x0000_s1072"/>
        <o:r id="V:Rule14" type="connector" idref="#_x0000_s1052"/>
        <o:r id="V:Rule15" type="connector" idref="#_x0000_s1083"/>
        <o:r id="V:Rule16" type="connector" idref="#_x0000_s1059"/>
        <o:r id="V:Rule17" type="connector" idref="#_x0000_s1098"/>
        <o:r id="V:Rule18" type="connector" idref="#_x0000_s1093"/>
        <o:r id="V:Rule19" type="connector" idref="#_x0000_s1092"/>
        <o:r id="V:Rule20" type="connector" idref="#_x0000_s1056"/>
        <o:r id="V:Rule21" type="connector" idref="#_x0000_s1078"/>
        <o:r id="V:Rule22" type="connector" idref="#_x0000_s1076"/>
        <o:r id="V:Rule23" type="connector" idref="#_x0000_s1068"/>
        <o:r id="V:Rule24" type="connector" idref="#_x0000_s1073"/>
        <o:r id="V:Rule25" type="connector" idref="#_x0000_s1094"/>
        <o:r id="V:Rule26" type="connector" idref="#_x0000_s1084"/>
        <o:r id="V:Rule27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9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D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qFormat/>
    <w:rsid w:val="00077D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9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7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53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7632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5"/>
      <w:szCs w:val="1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632B6"/>
    <w:rPr>
      <w:rFonts w:ascii="Tahoma" w:eastAsiaTheme="minorEastAsia" w:hAnsi="Tahoma" w:cs="Tahoma"/>
      <w:sz w:val="15"/>
      <w:szCs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FF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077D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Normal (Web)"/>
    <w:basedOn w:val="a"/>
    <w:uiPriority w:val="99"/>
    <w:semiHidden/>
    <w:unhideWhenUsed/>
    <w:rsid w:val="0007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7DC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-justify">
    <w:name w:val="text-justify"/>
    <w:basedOn w:val="a"/>
    <w:rsid w:val="0007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6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yabroad.ru/guide/italy/time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28BB-04B3-410E-A96F-80F0397E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Н1</cp:lastModifiedBy>
  <cp:revision>27</cp:revision>
  <dcterms:created xsi:type="dcterms:W3CDTF">2016-10-17T05:42:00Z</dcterms:created>
  <dcterms:modified xsi:type="dcterms:W3CDTF">2020-08-25T10:07:00Z</dcterms:modified>
</cp:coreProperties>
</file>