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860" w:rsidRPr="00D70249" w:rsidRDefault="000C5860" w:rsidP="00D70249">
      <w:pPr>
        <w:rPr>
          <w:rFonts w:cs="Times New Roman"/>
          <w:i/>
        </w:rPr>
      </w:pPr>
      <w:r w:rsidRPr="00D70249">
        <w:rPr>
          <w:rFonts w:cs="Times New Roman"/>
          <w:i/>
        </w:rPr>
        <w:t>Разработчик</w:t>
      </w:r>
      <w:r w:rsidRPr="00D70249">
        <w:rPr>
          <w:rFonts w:cs="Times New Roman"/>
        </w:rPr>
        <w:t xml:space="preserve">: </w:t>
      </w:r>
      <w:r w:rsidRPr="00D70249">
        <w:rPr>
          <w:rFonts w:cs="Times New Roman"/>
        </w:rPr>
        <w:tab/>
      </w:r>
      <w:r w:rsidRPr="00D70249">
        <w:rPr>
          <w:rStyle w:val="FontStyle94"/>
          <w:rFonts w:ascii="Times New Roman" w:hAnsi="Times New Roman" w:cs="Times New Roman"/>
          <w:sz w:val="24"/>
          <w:szCs w:val="24"/>
        </w:rPr>
        <w:t>О.В.</w:t>
      </w:r>
      <w:r w:rsidR="00AB5F89">
        <w:rPr>
          <w:rStyle w:val="FontStyle94"/>
          <w:rFonts w:ascii="Times New Roman" w:hAnsi="Times New Roman" w:cs="Times New Roman"/>
          <w:sz w:val="24"/>
          <w:szCs w:val="24"/>
        </w:rPr>
        <w:t xml:space="preserve"> </w:t>
      </w:r>
      <w:r w:rsidRPr="00D70249">
        <w:rPr>
          <w:rStyle w:val="FontStyle94"/>
          <w:rFonts w:ascii="Times New Roman" w:hAnsi="Times New Roman" w:cs="Times New Roman"/>
          <w:sz w:val="24"/>
          <w:szCs w:val="24"/>
        </w:rPr>
        <w:t>Говорова</w:t>
      </w:r>
    </w:p>
    <w:p w:rsidR="000C5860" w:rsidRPr="00D70249" w:rsidRDefault="00FA00D2" w:rsidP="00D70249">
      <w:pPr>
        <w:rPr>
          <w:rFonts w:cs="Times New Roman"/>
          <w:i/>
        </w:rPr>
      </w:pPr>
      <w:r>
        <w:rPr>
          <w:rFonts w:cs="Times New Roman"/>
          <w:i/>
        </w:rPr>
        <w:t>Курс</w:t>
      </w:r>
      <w:r w:rsidR="000C5860" w:rsidRPr="00D70249">
        <w:rPr>
          <w:rFonts w:cs="Times New Roman"/>
        </w:rPr>
        <w:t>:</w:t>
      </w:r>
      <w:r>
        <w:rPr>
          <w:rFonts w:cs="Times New Roman"/>
        </w:rPr>
        <w:tab/>
      </w:r>
      <w:r w:rsidR="000C5860" w:rsidRPr="00D70249">
        <w:rPr>
          <w:rFonts w:cs="Times New Roman"/>
        </w:rPr>
        <w:t xml:space="preserve"> </w:t>
      </w:r>
      <w:r w:rsidR="000C5860" w:rsidRPr="00D70249">
        <w:rPr>
          <w:rFonts w:cs="Times New Roman"/>
        </w:rPr>
        <w:tab/>
      </w:r>
      <w:r w:rsidR="000C5860" w:rsidRPr="00D70249">
        <w:rPr>
          <w:rFonts w:cs="Times New Roman"/>
        </w:rPr>
        <w:tab/>
        <w:t>Гражданское право</w:t>
      </w:r>
    </w:p>
    <w:p w:rsidR="000C5860" w:rsidRPr="00D70249" w:rsidRDefault="000C5860" w:rsidP="00D70249">
      <w:pPr>
        <w:rPr>
          <w:rFonts w:cs="Times New Roman"/>
        </w:rPr>
      </w:pPr>
      <w:r w:rsidRPr="00D70249">
        <w:rPr>
          <w:rFonts w:cs="Times New Roman"/>
          <w:i/>
        </w:rPr>
        <w:t>Тема</w:t>
      </w:r>
      <w:r w:rsidRPr="00D70249">
        <w:rPr>
          <w:rFonts w:cs="Times New Roman"/>
        </w:rPr>
        <w:t xml:space="preserve">: </w:t>
      </w:r>
      <w:r w:rsidRPr="00D70249">
        <w:rPr>
          <w:rFonts w:cs="Times New Roman"/>
        </w:rPr>
        <w:tab/>
      </w:r>
      <w:r w:rsidRPr="00D70249">
        <w:rPr>
          <w:rFonts w:cs="Times New Roman"/>
        </w:rPr>
        <w:tab/>
      </w:r>
      <w:r w:rsidRPr="00D70249">
        <w:rPr>
          <w:rFonts w:cs="Times New Roman"/>
        </w:rPr>
        <w:tab/>
      </w:r>
      <w:r w:rsidRPr="00D70249">
        <w:rPr>
          <w:rFonts w:cs="Times New Roman"/>
          <w:color w:val="000000"/>
        </w:rPr>
        <w:t>Сделки в гражданском праве</w:t>
      </w:r>
    </w:p>
    <w:p w:rsidR="000C5860" w:rsidRPr="00D70249" w:rsidRDefault="000C5860" w:rsidP="00D70249">
      <w:pPr>
        <w:rPr>
          <w:rFonts w:cs="Times New Roman"/>
        </w:rPr>
      </w:pPr>
    </w:p>
    <w:p w:rsidR="000C5860" w:rsidRPr="00D70249" w:rsidRDefault="000C5860" w:rsidP="00D70249">
      <w:pPr>
        <w:rPr>
          <w:rFonts w:cs="Times New Roman"/>
        </w:rPr>
      </w:pPr>
    </w:p>
    <w:p w:rsidR="000C5860" w:rsidRPr="00D70249" w:rsidRDefault="000C5860" w:rsidP="00D70249">
      <w:pPr>
        <w:ind w:firstLine="709"/>
        <w:jc w:val="both"/>
        <w:rPr>
          <w:rFonts w:cs="Times New Roman"/>
          <w:b/>
          <w:bCs/>
        </w:rPr>
      </w:pPr>
      <w:r w:rsidRPr="00D70249">
        <w:rPr>
          <w:rFonts w:cs="Times New Roman"/>
        </w:rPr>
        <w:t xml:space="preserve">Ваша соседка продает по объявлению старый шкаф. Она пришла к вам </w:t>
      </w:r>
      <w:r w:rsidR="00D70249">
        <w:rPr>
          <w:rFonts w:cs="Times New Roman"/>
        </w:rPr>
        <w:t>взволнованная</w:t>
      </w:r>
      <w:r w:rsidRPr="00D70249">
        <w:rPr>
          <w:rFonts w:cs="Times New Roman"/>
        </w:rPr>
        <w:t xml:space="preserve"> и рассказала, что по объявлению позвонили, сказали, что завтра приедут покупатели, чтобы «заключить сделку и забрать шкаф (даже не торговались!)». К радости женщины примешивается некоторая настороженность, поскольку она не понимает, что от нее потребуется, чтобы «заключить сделку». </w:t>
      </w:r>
    </w:p>
    <w:p w:rsidR="000C5860" w:rsidRPr="00D70249" w:rsidRDefault="000C5860" w:rsidP="00D70249">
      <w:pPr>
        <w:ind w:firstLine="709"/>
        <w:jc w:val="both"/>
        <w:rPr>
          <w:rFonts w:cs="Times New Roman"/>
          <w:b/>
        </w:rPr>
      </w:pPr>
      <w:r w:rsidRPr="00D70249">
        <w:rPr>
          <w:rFonts w:cs="Times New Roman"/>
          <w:b/>
          <w:bCs/>
        </w:rPr>
        <w:t>Внимательно изучите источник.</w:t>
      </w:r>
    </w:p>
    <w:p w:rsidR="000C5860" w:rsidRPr="00D70249" w:rsidRDefault="000C5860" w:rsidP="00D70249">
      <w:pPr>
        <w:ind w:firstLine="709"/>
        <w:jc w:val="both"/>
        <w:rPr>
          <w:rFonts w:cs="Times New Roman"/>
          <w:b/>
          <w:bCs/>
        </w:rPr>
      </w:pPr>
      <w:r w:rsidRPr="00D70249">
        <w:rPr>
          <w:rFonts w:cs="Times New Roman"/>
          <w:b/>
        </w:rPr>
        <w:t>Подготовьте информацию о формах сделок, структурировав ее в том виде, который будет удобен для объяснения соседке.</w:t>
      </w:r>
    </w:p>
    <w:p w:rsidR="000C5860" w:rsidRPr="00D70249" w:rsidRDefault="000C5860" w:rsidP="00D70249">
      <w:pPr>
        <w:rPr>
          <w:rFonts w:cs="Times New Roman"/>
        </w:rPr>
      </w:pPr>
    </w:p>
    <w:p w:rsidR="000C5860" w:rsidRPr="00D70249" w:rsidRDefault="00D70249" w:rsidP="00D70249">
      <w:pPr>
        <w:jc w:val="center"/>
        <w:rPr>
          <w:rFonts w:cs="Times New Roman"/>
        </w:rPr>
      </w:pPr>
      <w:r>
        <w:rPr>
          <w:rFonts w:cs="Times New Roman"/>
          <w:b/>
          <w:bCs/>
        </w:rPr>
        <w:t>Сделки в гражданском праве</w:t>
      </w:r>
    </w:p>
    <w:p w:rsidR="000C5860" w:rsidRPr="00D70249" w:rsidRDefault="000C5860" w:rsidP="00D70249">
      <w:pPr>
        <w:pStyle w:val="a1"/>
        <w:spacing w:after="0"/>
        <w:ind w:firstLine="709"/>
        <w:jc w:val="both"/>
        <w:rPr>
          <w:rStyle w:val="a6"/>
          <w:rFonts w:cs="Times New Roman"/>
          <w:b w:val="0"/>
          <w:bCs w:val="0"/>
        </w:rPr>
      </w:pPr>
      <w:r w:rsidRPr="00D70249">
        <w:rPr>
          <w:rFonts w:cs="Times New Roman"/>
          <w:color w:val="000000"/>
        </w:rPr>
        <w:t>Обстоятельства (основания), с наступлением которых связываются установление, изменение или прекращение гражданских прав и обязанностей, определены в законе. В частности, Гражданский кодекс Российской Федерации устанавливает юридические факты, которые обусловливают возникновение гражданских прав и обязанностей. Одним из таких юридических фактов выступают сделки.</w:t>
      </w:r>
    </w:p>
    <w:p w:rsidR="000C5860" w:rsidRPr="00D70249" w:rsidRDefault="000C5860" w:rsidP="00D70249">
      <w:pPr>
        <w:ind w:firstLine="709"/>
        <w:jc w:val="both"/>
        <w:rPr>
          <w:rStyle w:val="a6"/>
          <w:rFonts w:cs="Times New Roman"/>
          <w:b w:val="0"/>
          <w:bCs w:val="0"/>
        </w:rPr>
      </w:pPr>
      <w:r w:rsidRPr="00D70249">
        <w:rPr>
          <w:rStyle w:val="a6"/>
          <w:rFonts w:cs="Times New Roman"/>
          <w:b w:val="0"/>
          <w:bCs w:val="0"/>
        </w:rPr>
        <w:t>Гражданско-правовая сделка</w:t>
      </w:r>
      <w:r w:rsidRPr="00D70249">
        <w:rPr>
          <w:rFonts w:cs="Times New Roman"/>
        </w:rPr>
        <w:t xml:space="preserve"> </w:t>
      </w:r>
      <w:r w:rsidR="00D70249">
        <w:rPr>
          <w:rFonts w:cs="Times New Roman"/>
        </w:rPr>
        <w:t>-</w:t>
      </w:r>
      <w:r w:rsidRPr="00D70249">
        <w:rPr>
          <w:rFonts w:cs="Times New Roman"/>
        </w:rPr>
        <w:t xml:space="preserve"> это наиболее часто встречающийся юридический факт, на основе которого возникают гражданские права и обязанности. В сделках выражаются разнообразные имущественные отношения как между организациями, этими организациями и гражданами, а также между гражданами. Особенно велико значение сделок в сфере имущественных отношений между коммерческими организациями. Здесь они выступают в качестве эффективного средства рыночного хозяйства.</w:t>
      </w:r>
    </w:p>
    <w:p w:rsidR="000C5860" w:rsidRPr="00D70249" w:rsidRDefault="000C5860" w:rsidP="00D70249">
      <w:pPr>
        <w:ind w:firstLine="709"/>
        <w:jc w:val="both"/>
        <w:rPr>
          <w:rStyle w:val="a6"/>
          <w:rFonts w:cs="Times New Roman"/>
          <w:b w:val="0"/>
          <w:bCs w:val="0"/>
        </w:rPr>
      </w:pPr>
      <w:r w:rsidRPr="00D70249">
        <w:rPr>
          <w:rStyle w:val="a6"/>
          <w:rFonts w:cs="Times New Roman"/>
          <w:b w:val="0"/>
          <w:bCs w:val="0"/>
        </w:rPr>
        <w:t>Сделка</w:t>
      </w:r>
      <w:r w:rsidRPr="00D70249">
        <w:rPr>
          <w:rFonts w:cs="Times New Roman"/>
        </w:rPr>
        <w:t xml:space="preserve"> </w:t>
      </w:r>
      <w:r w:rsidR="00D70249">
        <w:rPr>
          <w:rFonts w:cs="Times New Roman"/>
        </w:rPr>
        <w:t>-</w:t>
      </w:r>
      <w:r w:rsidRPr="00D70249">
        <w:rPr>
          <w:rFonts w:cs="Times New Roman"/>
        </w:rPr>
        <w:t xml:space="preserve"> это действие юридического или физического лица, направленное на установление, изменение или прекращение гражданских прав и обязанностей.</w:t>
      </w:r>
    </w:p>
    <w:p w:rsidR="000C5860" w:rsidRPr="00D70249" w:rsidRDefault="000C5860" w:rsidP="00D70249">
      <w:pPr>
        <w:ind w:firstLine="709"/>
        <w:jc w:val="both"/>
        <w:rPr>
          <w:rFonts w:cs="Times New Roman"/>
        </w:rPr>
      </w:pPr>
      <w:r w:rsidRPr="00D70249">
        <w:rPr>
          <w:rStyle w:val="a6"/>
          <w:rFonts w:cs="Times New Roman"/>
          <w:b w:val="0"/>
          <w:bCs w:val="0"/>
        </w:rPr>
        <w:t>Заключение сделки</w:t>
      </w:r>
      <w:r w:rsidRPr="00D70249">
        <w:rPr>
          <w:rFonts w:cs="Times New Roman"/>
        </w:rPr>
        <w:t xml:space="preserve"> </w:t>
      </w:r>
      <w:r w:rsidR="00D70249">
        <w:rPr>
          <w:rFonts w:cs="Times New Roman"/>
        </w:rPr>
        <w:t>-</w:t>
      </w:r>
      <w:r w:rsidRPr="00D70249">
        <w:rPr>
          <w:rFonts w:cs="Times New Roman"/>
        </w:rPr>
        <w:t xml:space="preserve"> это подписание документов о действиях, направленных на установление, прекращение или изменение правоотношен</w:t>
      </w:r>
      <w:bookmarkStart w:id="0" w:name="_GoBack"/>
      <w:bookmarkEnd w:id="0"/>
      <w:r w:rsidRPr="00D70249">
        <w:rPr>
          <w:rFonts w:cs="Times New Roman"/>
        </w:rPr>
        <w:t>ий физических или юридических лиц.</w:t>
      </w:r>
    </w:p>
    <w:p w:rsidR="000C5860" w:rsidRPr="00D70249" w:rsidRDefault="000C5860" w:rsidP="00D70249">
      <w:pPr>
        <w:ind w:firstLine="709"/>
        <w:jc w:val="both"/>
        <w:rPr>
          <w:rFonts w:cs="Times New Roman"/>
        </w:rPr>
      </w:pPr>
      <w:r w:rsidRPr="00D70249">
        <w:rPr>
          <w:rFonts w:cs="Times New Roman"/>
        </w:rPr>
        <w:t xml:space="preserve">Примером заключения сделки посредством </w:t>
      </w:r>
      <w:r w:rsidRPr="00D70249">
        <w:rPr>
          <w:rStyle w:val="a6"/>
          <w:rFonts w:cs="Times New Roman"/>
          <w:b w:val="0"/>
          <w:bCs w:val="0"/>
        </w:rPr>
        <w:t>установления</w:t>
      </w:r>
      <w:r w:rsidRPr="00D70249">
        <w:rPr>
          <w:rFonts w:cs="Times New Roman"/>
        </w:rPr>
        <w:t xml:space="preserve"> гражданских прав и обязанностей является принятие гражданином-покупателем предложения магазина о заключении договора розничной купли-продажи.</w:t>
      </w:r>
    </w:p>
    <w:p w:rsidR="000C5860" w:rsidRPr="00D70249" w:rsidRDefault="000C5860" w:rsidP="00D70249">
      <w:pPr>
        <w:ind w:firstLine="709"/>
        <w:jc w:val="both"/>
        <w:rPr>
          <w:rFonts w:cs="Times New Roman"/>
        </w:rPr>
      </w:pPr>
      <w:r w:rsidRPr="00D70249">
        <w:rPr>
          <w:rFonts w:cs="Times New Roman"/>
        </w:rPr>
        <w:t xml:space="preserve">Примером совершения сделки посредством действий, направленных на </w:t>
      </w:r>
      <w:r w:rsidRPr="00D70249">
        <w:rPr>
          <w:rStyle w:val="a6"/>
          <w:rFonts w:cs="Times New Roman"/>
          <w:b w:val="0"/>
          <w:bCs w:val="0"/>
        </w:rPr>
        <w:t>изменение</w:t>
      </w:r>
      <w:r w:rsidRPr="00D70249">
        <w:rPr>
          <w:rFonts w:cs="Times New Roman"/>
        </w:rPr>
        <w:t xml:space="preserve"> прав и обязанностей, может служить дополнительное соглашение сторон договора купли-продажи товаров об изменении продавцу первоначально установленных сроков продажи.</w:t>
      </w:r>
    </w:p>
    <w:p w:rsidR="000C5860" w:rsidRPr="00D70249" w:rsidRDefault="000C5860" w:rsidP="00D70249">
      <w:pPr>
        <w:ind w:firstLine="709"/>
        <w:jc w:val="both"/>
        <w:rPr>
          <w:rFonts w:cs="Times New Roman"/>
        </w:rPr>
      </w:pPr>
      <w:r w:rsidRPr="00D70249">
        <w:rPr>
          <w:rFonts w:cs="Times New Roman"/>
        </w:rPr>
        <w:t xml:space="preserve">Если же оптовая и розничная торговые организации заключают соглашение о зачете взаимных требований, то такое соглашение является примером сделки, </w:t>
      </w:r>
      <w:r w:rsidRPr="00D70249">
        <w:rPr>
          <w:rStyle w:val="a6"/>
          <w:rFonts w:cs="Times New Roman"/>
          <w:b w:val="0"/>
          <w:bCs w:val="0"/>
        </w:rPr>
        <w:t>прекращающей</w:t>
      </w:r>
      <w:r w:rsidRPr="00D70249">
        <w:rPr>
          <w:rFonts w:cs="Times New Roman"/>
        </w:rPr>
        <w:t xml:space="preserve"> ранее существовавшие правоотношения.</w:t>
      </w:r>
    </w:p>
    <w:p w:rsidR="000C5860" w:rsidRPr="00D70249" w:rsidRDefault="000C5860" w:rsidP="00D70249">
      <w:pPr>
        <w:ind w:firstLine="709"/>
        <w:rPr>
          <w:rFonts w:cs="Times New Roman"/>
        </w:rPr>
      </w:pPr>
      <w:r w:rsidRPr="00D70249">
        <w:rPr>
          <w:rFonts w:cs="Times New Roman"/>
        </w:rPr>
        <w:t>Признаки сделки:</w:t>
      </w:r>
    </w:p>
    <w:p w:rsidR="000C5860" w:rsidRPr="00D70249" w:rsidRDefault="00D70249" w:rsidP="00B71B1C">
      <w:pPr>
        <w:numPr>
          <w:ilvl w:val="0"/>
          <w:numId w:val="3"/>
        </w:numPr>
        <w:ind w:left="1276"/>
        <w:rPr>
          <w:rFonts w:cs="Times New Roman"/>
        </w:rPr>
      </w:pPr>
      <w:r>
        <w:rPr>
          <w:rFonts w:cs="Times New Roman"/>
        </w:rPr>
        <w:t>сделка как волевое действие;</w:t>
      </w:r>
    </w:p>
    <w:p w:rsidR="000C5860" w:rsidRPr="00D70249" w:rsidRDefault="000C5860" w:rsidP="00B71B1C">
      <w:pPr>
        <w:numPr>
          <w:ilvl w:val="0"/>
          <w:numId w:val="3"/>
        </w:numPr>
        <w:ind w:left="1276"/>
        <w:rPr>
          <w:rFonts w:cs="Times New Roman"/>
        </w:rPr>
      </w:pPr>
      <w:r w:rsidRPr="00D70249">
        <w:rPr>
          <w:rFonts w:cs="Times New Roman"/>
        </w:rPr>
        <w:t>основан</w:t>
      </w:r>
      <w:r w:rsidR="00D70249">
        <w:rPr>
          <w:rFonts w:cs="Times New Roman"/>
        </w:rPr>
        <w:t>ие сделки должно быть законным;</w:t>
      </w:r>
    </w:p>
    <w:p w:rsidR="000C5860" w:rsidRPr="00D70249" w:rsidRDefault="000C5860" w:rsidP="00B71B1C">
      <w:pPr>
        <w:numPr>
          <w:ilvl w:val="0"/>
          <w:numId w:val="3"/>
        </w:numPr>
        <w:ind w:left="1276"/>
        <w:rPr>
          <w:rFonts w:cs="Times New Roman"/>
        </w:rPr>
      </w:pPr>
      <w:r w:rsidRPr="00D70249">
        <w:rPr>
          <w:rFonts w:cs="Times New Roman"/>
        </w:rPr>
        <w:t>правомер</w:t>
      </w:r>
      <w:r w:rsidR="00D70249">
        <w:rPr>
          <w:rFonts w:cs="Times New Roman"/>
        </w:rPr>
        <w:t>ность сделки.</w:t>
      </w:r>
    </w:p>
    <w:p w:rsidR="000C5860" w:rsidRPr="00D70249" w:rsidRDefault="000C5860" w:rsidP="00D70249">
      <w:pPr>
        <w:pStyle w:val="a1"/>
        <w:spacing w:after="0"/>
        <w:ind w:firstLine="709"/>
        <w:jc w:val="both"/>
        <w:rPr>
          <w:rFonts w:cs="Times New Roman"/>
        </w:rPr>
      </w:pPr>
      <w:r w:rsidRPr="00D70249">
        <w:rPr>
          <w:rFonts w:cs="Times New Roman"/>
        </w:rPr>
        <w:t xml:space="preserve">Сделки </w:t>
      </w:r>
      <w:r w:rsidR="00D70249">
        <w:rPr>
          <w:rFonts w:cs="Times New Roman"/>
        </w:rPr>
        <w:t>-</w:t>
      </w:r>
      <w:r w:rsidRPr="00D70249">
        <w:rPr>
          <w:rFonts w:cs="Times New Roman"/>
        </w:rPr>
        <w:t xml:space="preserve"> волевой акт. Сделки выражают волю их участников. Волевым характером сделки отличаются от другого вида юридических фактов </w:t>
      </w:r>
      <w:r w:rsidR="00D70249">
        <w:rPr>
          <w:rFonts w:cs="Times New Roman"/>
        </w:rPr>
        <w:t>-</w:t>
      </w:r>
      <w:r w:rsidRPr="00D70249">
        <w:rPr>
          <w:rFonts w:cs="Times New Roman"/>
        </w:rPr>
        <w:t xml:space="preserve"> событий, которые </w:t>
      </w:r>
      <w:proofErr w:type="gramStart"/>
      <w:r w:rsidRPr="00D70249">
        <w:rPr>
          <w:rFonts w:cs="Times New Roman"/>
        </w:rPr>
        <w:t>наступают помимо воли людей и от нее не зависят</w:t>
      </w:r>
      <w:proofErr w:type="gramEnd"/>
      <w:r w:rsidRPr="00D70249">
        <w:rPr>
          <w:rFonts w:cs="Times New Roman"/>
        </w:rPr>
        <w:t>. Воля участников сделки направлена на установление правомерных юридических последствий. Этим сделка как юридический факт отличается от правонарушения (деликта). Лицо, причиняющее вред, обычно не желает наступления правовых последствий, они возникают помимо его воли. Участники же сделки заключают ее, желая вызвать те или другие юридические последствия.</w:t>
      </w:r>
    </w:p>
    <w:p w:rsidR="000C5860" w:rsidRPr="00D70249" w:rsidRDefault="000C5860" w:rsidP="00D70249">
      <w:pPr>
        <w:ind w:firstLine="709"/>
        <w:jc w:val="both"/>
        <w:rPr>
          <w:rFonts w:cs="Times New Roman"/>
        </w:rPr>
      </w:pPr>
      <w:r w:rsidRPr="00D70249">
        <w:rPr>
          <w:rFonts w:cs="Times New Roman"/>
        </w:rPr>
        <w:t xml:space="preserve">Каждый из участников сделки при ее совершении обладает определенным намерением </w:t>
      </w:r>
      <w:r w:rsidRPr="00D70249">
        <w:rPr>
          <w:rFonts w:cs="Times New Roman"/>
        </w:rPr>
        <w:lastRenderedPageBreak/>
        <w:t xml:space="preserve">(внутренней волей) </w:t>
      </w:r>
      <w:r w:rsidR="00D70249">
        <w:rPr>
          <w:rFonts w:cs="Times New Roman"/>
        </w:rPr>
        <w:t>-</w:t>
      </w:r>
      <w:r w:rsidRPr="00D70249">
        <w:rPr>
          <w:rFonts w:cs="Times New Roman"/>
        </w:rPr>
        <w:t xml:space="preserve"> достичь известного правового результата. Именно из совершенных действий субъектов сделки можно узнать об этом намерении. Чтобы воля могла быть взаимно воспринята участниками сделки и третьими лицами, необходимо выразить ее вовне. Внешнее выражение внутренней воли участников сделки, из </w:t>
      </w:r>
      <w:proofErr w:type="gramStart"/>
      <w:r w:rsidRPr="00D70249">
        <w:rPr>
          <w:rFonts w:cs="Times New Roman"/>
        </w:rPr>
        <w:t>которого</w:t>
      </w:r>
      <w:proofErr w:type="gramEnd"/>
      <w:r w:rsidRPr="00D70249">
        <w:rPr>
          <w:rFonts w:cs="Times New Roman"/>
        </w:rPr>
        <w:t xml:space="preserve"> можно составить представление о ее содержании, называется волеизъявлением.</w:t>
      </w:r>
    </w:p>
    <w:p w:rsidR="000C5860" w:rsidRPr="00D70249" w:rsidRDefault="000C5860" w:rsidP="00D70249">
      <w:pPr>
        <w:ind w:firstLine="709"/>
        <w:jc w:val="both"/>
        <w:rPr>
          <w:rFonts w:cs="Times New Roman"/>
        </w:rPr>
      </w:pPr>
      <w:r w:rsidRPr="00D70249">
        <w:rPr>
          <w:rFonts w:cs="Times New Roman"/>
        </w:rPr>
        <w:t xml:space="preserve">Гражданское законодательство предусматривает разнообразные способы изъявления участниками сделки своей воли. В одних случаях она может выражаться при помощи прямого волеизъявления посредством устных или письменных заявлений, в других </w:t>
      </w:r>
      <w:r w:rsidR="00D70249">
        <w:rPr>
          <w:rFonts w:cs="Times New Roman"/>
        </w:rPr>
        <w:t>-</w:t>
      </w:r>
      <w:r w:rsidRPr="00D70249">
        <w:rPr>
          <w:rFonts w:cs="Times New Roman"/>
        </w:rPr>
        <w:t xml:space="preserve"> путем</w:t>
      </w:r>
      <w:r w:rsidR="00D70249">
        <w:rPr>
          <w:rFonts w:cs="Times New Roman"/>
        </w:rPr>
        <w:t xml:space="preserve"> конклюдентных действий, т.</w:t>
      </w:r>
      <w:r w:rsidRPr="00D70249">
        <w:rPr>
          <w:rFonts w:cs="Times New Roman"/>
        </w:rPr>
        <w:t xml:space="preserve">е. действий, из совершения которых можно сделать вывод о наличии воли, в третьих </w:t>
      </w:r>
      <w:r w:rsidR="00D70249">
        <w:rPr>
          <w:rFonts w:cs="Times New Roman"/>
        </w:rPr>
        <w:t>-</w:t>
      </w:r>
      <w:r w:rsidRPr="00D70249">
        <w:rPr>
          <w:rFonts w:cs="Times New Roman"/>
        </w:rPr>
        <w:t xml:space="preserve"> посредством молчания. Таким образом, если путем прямого волеизъявления внутренняя воля выражается участником сделки непосредственно, прямо в устной или письменной форме, то конклюдентное волеизъявление определяет намерение участников сделки не непосредственно, а посредством предварительного анализа и оценки их действий, на основе которых можно составить представление о воле участников сделки. Например, если в ответ на сделанный организацией заказ поставщик отгружает покупателю товары, то из этого факта с несомненностью следует, что поставщик изъявил свое согласие на поставку заказанных товаров.</w:t>
      </w:r>
    </w:p>
    <w:p w:rsidR="000C5860" w:rsidRPr="00D70249" w:rsidRDefault="000C5860" w:rsidP="00D70249">
      <w:pPr>
        <w:pStyle w:val="a1"/>
        <w:spacing w:after="0"/>
        <w:ind w:firstLine="709"/>
        <w:jc w:val="both"/>
        <w:rPr>
          <w:rFonts w:cs="Times New Roman"/>
        </w:rPr>
      </w:pPr>
      <w:r w:rsidRPr="00D70249">
        <w:rPr>
          <w:rFonts w:cs="Times New Roman"/>
        </w:rPr>
        <w:t>Одним из способов выражения воли участниками сделки может служить молчание. Однако учитывая особенность данного способа выражения внутренней воли, молчанию придается юридическая сила только в случаях, установленных законодательством.</w:t>
      </w:r>
    </w:p>
    <w:p w:rsidR="000C5860" w:rsidRPr="00D70249" w:rsidRDefault="000C5860" w:rsidP="00D70249">
      <w:pPr>
        <w:pStyle w:val="a1"/>
        <w:spacing w:after="0"/>
        <w:ind w:firstLine="709"/>
        <w:jc w:val="both"/>
        <w:rPr>
          <w:rFonts w:cs="Times New Roman"/>
        </w:rPr>
      </w:pPr>
      <w:r w:rsidRPr="00D70249">
        <w:rPr>
          <w:rFonts w:cs="Times New Roman"/>
        </w:rPr>
        <w:t>Как правило, внутренняя воля участников сделки и ее проявление вовне, т. е. волеизъявление, совпадают. Если такого совпадения нет, сделка может быть признана недействительной, например, как заключенная под вл</w:t>
      </w:r>
      <w:r w:rsidR="00B71B1C">
        <w:rPr>
          <w:rFonts w:cs="Times New Roman"/>
        </w:rPr>
        <w:t>иянием заблуждения, обмана и т.</w:t>
      </w:r>
      <w:r w:rsidRPr="00D70249">
        <w:rPr>
          <w:rFonts w:cs="Times New Roman"/>
        </w:rPr>
        <w:t>п.</w:t>
      </w:r>
    </w:p>
    <w:p w:rsidR="000C5860" w:rsidRPr="00D70249" w:rsidRDefault="000C5860" w:rsidP="00D70249">
      <w:pPr>
        <w:ind w:firstLine="709"/>
        <w:jc w:val="both"/>
        <w:rPr>
          <w:rFonts w:cs="Times New Roman"/>
        </w:rPr>
      </w:pPr>
      <w:r w:rsidRPr="00D70249">
        <w:rPr>
          <w:rFonts w:cs="Times New Roman"/>
        </w:rPr>
        <w:t xml:space="preserve">Под формой сделки понимается </w:t>
      </w:r>
      <w:r w:rsidRPr="00D70249">
        <w:rPr>
          <w:rStyle w:val="a6"/>
          <w:rFonts w:cs="Times New Roman"/>
          <w:b w:val="0"/>
          <w:bCs w:val="0"/>
        </w:rPr>
        <w:t>способ выражения воли ее участников</w:t>
      </w:r>
      <w:r w:rsidRPr="00D70249">
        <w:rPr>
          <w:rFonts w:cs="Times New Roman"/>
        </w:rPr>
        <w:t xml:space="preserve">. Устанавливая определенную форму сделки, законодатель стремится к тому, чтобы воля ее участников </w:t>
      </w:r>
      <w:proofErr w:type="gramStart"/>
      <w:r w:rsidRPr="00D70249">
        <w:rPr>
          <w:rFonts w:cs="Times New Roman"/>
        </w:rPr>
        <w:t>была с достаточной точностью выражена и могла</w:t>
      </w:r>
      <w:proofErr w:type="gramEnd"/>
      <w:r w:rsidRPr="00D70249">
        <w:rPr>
          <w:rFonts w:cs="Times New Roman"/>
        </w:rPr>
        <w:t xml:space="preserve"> быть правильно воспринята. В тех же случаях, когда сделки имеют важное значение в гражданском обороте, их совершение ставится под контроль государства посредством установления для </w:t>
      </w:r>
      <w:proofErr w:type="gramStart"/>
      <w:r w:rsidRPr="00D70249">
        <w:rPr>
          <w:rFonts w:cs="Times New Roman"/>
        </w:rPr>
        <w:t>них</w:t>
      </w:r>
      <w:proofErr w:type="gramEnd"/>
      <w:r w:rsidRPr="00D70249">
        <w:rPr>
          <w:rFonts w:cs="Times New Roman"/>
        </w:rPr>
        <w:t xml:space="preserve"> нотариально удостоверенной формы, а иногда и обязательности последующей регистрации в соответствующих организациях. Участники сделки должны совершать ее в форме, предусмотренной законом, так как несоблюдение этого условия влечет отрицательные последствия.</w:t>
      </w:r>
    </w:p>
    <w:p w:rsidR="000C5860" w:rsidRPr="00D70249" w:rsidRDefault="000C5860" w:rsidP="00D70249">
      <w:pPr>
        <w:pStyle w:val="a1"/>
        <w:spacing w:after="0"/>
        <w:ind w:firstLine="709"/>
        <w:jc w:val="both"/>
        <w:rPr>
          <w:rFonts w:cs="Times New Roman"/>
        </w:rPr>
      </w:pPr>
      <w:r w:rsidRPr="00D70249">
        <w:rPr>
          <w:rFonts w:cs="Times New Roman"/>
        </w:rPr>
        <w:t>В соответствии со ст. 158 ч. 1 ГК РФ, сделки могут совершаться в устной или письменной форме. В свою очередь письменные сделки могут быть простыми письменными и нотариально удостоверенными.</w:t>
      </w:r>
    </w:p>
    <w:p w:rsidR="000C5860" w:rsidRPr="00D70249" w:rsidRDefault="000C5860" w:rsidP="00D70249">
      <w:pPr>
        <w:pStyle w:val="a1"/>
        <w:spacing w:after="0"/>
        <w:ind w:firstLine="709"/>
        <w:jc w:val="both"/>
        <w:rPr>
          <w:rStyle w:val="a6"/>
          <w:rFonts w:cs="Times New Roman"/>
          <w:b w:val="0"/>
          <w:bCs w:val="0"/>
        </w:rPr>
      </w:pPr>
      <w:r w:rsidRPr="00D70249">
        <w:rPr>
          <w:rFonts w:cs="Times New Roman"/>
        </w:rPr>
        <w:t xml:space="preserve">Форма сделки может быть заранее обусловлена законом. При отсутствии в законе указаний о форме сделки она может быть </w:t>
      </w:r>
      <w:r w:rsidRPr="00D70249">
        <w:rPr>
          <w:rStyle w:val="a6"/>
          <w:rFonts w:cs="Times New Roman"/>
          <w:b w:val="0"/>
          <w:bCs w:val="0"/>
        </w:rPr>
        <w:t>устной</w:t>
      </w:r>
      <w:r w:rsidRPr="00D70249">
        <w:rPr>
          <w:rFonts w:cs="Times New Roman"/>
        </w:rPr>
        <w:t>.</w:t>
      </w:r>
    </w:p>
    <w:p w:rsidR="000C5860" w:rsidRPr="00D70249" w:rsidRDefault="000C5860" w:rsidP="00D70249">
      <w:pPr>
        <w:pStyle w:val="a1"/>
        <w:spacing w:after="0"/>
        <w:ind w:firstLine="709"/>
        <w:jc w:val="both"/>
        <w:rPr>
          <w:rFonts w:cs="Times New Roman"/>
        </w:rPr>
      </w:pPr>
      <w:r w:rsidRPr="00D70249">
        <w:rPr>
          <w:rStyle w:val="a6"/>
          <w:rFonts w:cs="Times New Roman"/>
          <w:b w:val="0"/>
          <w:bCs w:val="0"/>
        </w:rPr>
        <w:t>Письменная форма сделки</w:t>
      </w:r>
      <w:r w:rsidRPr="00D70249">
        <w:rPr>
          <w:rFonts w:cs="Times New Roman"/>
        </w:rPr>
        <w:t xml:space="preserve"> представляет собой такой способ выражения воли ее участников, при котором содержание сделки излагается письменно. Сделка, совершенная в письменной форме, должна быть подписана ее участниками. Если участник сделки по каким-либо причинам не может собственноручно подписаться (например, вследствие физического недостатка или болезни), то сделка может быть подписана другим лицом по его поручению.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rsidRPr="00D70249">
        <w:rPr>
          <w:rFonts w:cs="Times New Roman"/>
        </w:rPr>
        <w:t>совершающий</w:t>
      </w:r>
      <w:proofErr w:type="gramEnd"/>
      <w:r w:rsidRPr="00D70249">
        <w:rPr>
          <w:rFonts w:cs="Times New Roman"/>
        </w:rPr>
        <w:t xml:space="preserve"> сделку не мог подписать ее собственноручно. Подпись может быть удостоверена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 </w:t>
      </w:r>
    </w:p>
    <w:p w:rsidR="000C5860" w:rsidRPr="00D70249" w:rsidRDefault="000C5860" w:rsidP="00D70249">
      <w:pPr>
        <w:pStyle w:val="a1"/>
        <w:spacing w:after="0"/>
        <w:ind w:firstLine="709"/>
        <w:jc w:val="both"/>
        <w:rPr>
          <w:rFonts w:cs="Times New Roman"/>
        </w:rPr>
      </w:pPr>
      <w:r w:rsidRPr="00D70249">
        <w:rPr>
          <w:rFonts w:cs="Times New Roman"/>
        </w:rPr>
        <w:t>Нотариальное удостоверение сделок обязательно: в случаях, указанных в законе, и в случаях, предусмотренных соглашением сторон, хотя бы по закону для сделок данного вида эта форма не требовалась.</w:t>
      </w:r>
    </w:p>
    <w:p w:rsidR="000C5860" w:rsidRPr="00D70249" w:rsidRDefault="000C5860" w:rsidP="00D70249">
      <w:pPr>
        <w:pStyle w:val="a1"/>
        <w:spacing w:after="0"/>
        <w:ind w:firstLine="709"/>
        <w:jc w:val="both"/>
        <w:rPr>
          <w:rFonts w:cs="Times New Roman"/>
        </w:rPr>
      </w:pPr>
      <w:r w:rsidRPr="00D70249">
        <w:rPr>
          <w:rFonts w:cs="Times New Roman"/>
        </w:rPr>
        <w:t xml:space="preserve">Некоторые письменные сделки нуждаются в государственной регистрации. К ним относятся сделки с землей и другим недвижимым имуществом. Однако законом может быть </w:t>
      </w:r>
      <w:r w:rsidRPr="00D70249">
        <w:rPr>
          <w:rFonts w:cs="Times New Roman"/>
        </w:rPr>
        <w:lastRenderedPageBreak/>
        <w:t>установлена государственная регистрация сделок с движимым имуществом определенных видов (ст. 164 ч. 1 ГК РФ).</w:t>
      </w:r>
    </w:p>
    <w:p w:rsidR="000C5860" w:rsidRPr="00D70249" w:rsidRDefault="000C5860" w:rsidP="00D70249">
      <w:pPr>
        <w:pStyle w:val="a1"/>
        <w:spacing w:after="0"/>
        <w:ind w:firstLine="709"/>
        <w:jc w:val="both"/>
        <w:rPr>
          <w:rFonts w:cs="Times New Roman"/>
        </w:rPr>
      </w:pPr>
      <w:r w:rsidRPr="00D70249">
        <w:rPr>
          <w:rFonts w:cs="Times New Roman"/>
        </w:rPr>
        <w:t xml:space="preserve">В устной форме может совершаться сделка, для которой законом или соглашением сторон не установлена письменная форма. Сделка, для которой законодательством не установлена письменная или иная определенная форма, может быть совершена устно. Такая сделка считается совершенной и в том случае, когда из поведения лица следует его воля совершить сделку.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установлены нотариальная форма, и сделок, несоблюдение простой письменной </w:t>
      </w:r>
      <w:proofErr w:type="gramStart"/>
      <w:r w:rsidRPr="00D70249">
        <w:rPr>
          <w:rFonts w:cs="Times New Roman"/>
        </w:rPr>
        <w:t>формы</w:t>
      </w:r>
      <w:proofErr w:type="gramEnd"/>
      <w:r w:rsidRPr="00D70249">
        <w:rPr>
          <w:rFonts w:cs="Times New Roman"/>
        </w:rPr>
        <w:t xml:space="preserve"> которых влечет за собой их недействительность.</w:t>
      </w:r>
    </w:p>
    <w:p w:rsidR="000C5860" w:rsidRPr="00D70249" w:rsidRDefault="000C5860" w:rsidP="00D70249">
      <w:pPr>
        <w:pStyle w:val="a1"/>
        <w:spacing w:after="0"/>
        <w:ind w:firstLine="709"/>
        <w:jc w:val="both"/>
        <w:rPr>
          <w:rFonts w:cs="Times New Roman"/>
        </w:rPr>
      </w:pPr>
      <w:r w:rsidRPr="00D70249">
        <w:rPr>
          <w:rFonts w:cs="Times New Roman"/>
        </w:rPr>
        <w:t xml:space="preserve">Гражданский кодекс устные сделки рассматривает в качестве общего правила. Возможность совершать устные сделки </w:t>
      </w:r>
      <w:proofErr w:type="gramStart"/>
      <w:r w:rsidRPr="00D70249">
        <w:rPr>
          <w:rFonts w:cs="Times New Roman"/>
        </w:rPr>
        <w:t>обеспечивает оперативность экономического оборота и уменьшает</w:t>
      </w:r>
      <w:proofErr w:type="gramEnd"/>
      <w:r w:rsidRPr="00D70249">
        <w:rPr>
          <w:rFonts w:cs="Times New Roman"/>
        </w:rPr>
        <w:t xml:space="preserve"> материальные издержки в имущественных отношениях. </w:t>
      </w:r>
    </w:p>
    <w:p w:rsidR="000C5860" w:rsidRPr="00D70249" w:rsidRDefault="000C5860" w:rsidP="00D70249">
      <w:pPr>
        <w:ind w:firstLine="709"/>
        <w:jc w:val="both"/>
        <w:rPr>
          <w:rFonts w:cs="Times New Roman"/>
        </w:rPr>
      </w:pPr>
      <w:r w:rsidRPr="00D70249">
        <w:rPr>
          <w:rFonts w:cs="Times New Roman"/>
        </w:rPr>
        <w:t xml:space="preserve">Устная форма сделки </w:t>
      </w:r>
      <w:r w:rsidR="00B71B1C">
        <w:rPr>
          <w:rFonts w:cs="Times New Roman"/>
        </w:rPr>
        <w:t>-</w:t>
      </w:r>
      <w:r w:rsidRPr="00D70249">
        <w:rPr>
          <w:rFonts w:cs="Times New Roman"/>
        </w:rPr>
        <w:t xml:space="preserve"> это не только обмен словам</w:t>
      </w:r>
      <w:r w:rsidR="00B71B1C">
        <w:rPr>
          <w:rFonts w:cs="Times New Roman"/>
        </w:rPr>
        <w:t>и (вербально), но и действиями.</w:t>
      </w:r>
    </w:p>
    <w:p w:rsidR="000C5860" w:rsidRPr="00D70249" w:rsidRDefault="000C5860" w:rsidP="00D70249">
      <w:pPr>
        <w:ind w:firstLine="709"/>
        <w:jc w:val="both"/>
        <w:rPr>
          <w:rFonts w:cs="Times New Roman"/>
        </w:rPr>
      </w:pPr>
      <w:r w:rsidRPr="00D70249">
        <w:rPr>
          <w:rFonts w:cs="Times New Roman"/>
        </w:rPr>
        <w:t xml:space="preserve">Действия, из которых явствует воля лица совершить сделку, именуются </w:t>
      </w:r>
      <w:proofErr w:type="gramStart"/>
      <w:r w:rsidRPr="00D70249">
        <w:rPr>
          <w:rFonts w:cs="Times New Roman"/>
        </w:rPr>
        <w:t>конклюдентными</w:t>
      </w:r>
      <w:proofErr w:type="gramEnd"/>
      <w:r w:rsidRPr="00D70249">
        <w:rPr>
          <w:rFonts w:cs="Times New Roman"/>
        </w:rPr>
        <w:t xml:space="preserve">. В частности, приобретение товаров в автоматах, покупка продуктов в магазинах самообслуживания, проезд в общественном транспорте могут быть совершены без единого слова. </w:t>
      </w:r>
    </w:p>
    <w:p w:rsidR="000C5860" w:rsidRPr="00D70249" w:rsidRDefault="000C5860" w:rsidP="00D70249">
      <w:pPr>
        <w:jc w:val="both"/>
        <w:rPr>
          <w:rFonts w:cs="Times New Roman"/>
        </w:rPr>
      </w:pPr>
    </w:p>
    <w:p w:rsidR="000C5860" w:rsidRPr="00D70249" w:rsidRDefault="000C5860" w:rsidP="00D70249">
      <w:pPr>
        <w:jc w:val="both"/>
        <w:rPr>
          <w:rFonts w:cs="Times New Roman"/>
        </w:rPr>
      </w:pPr>
    </w:p>
    <w:p w:rsidR="000C5860" w:rsidRPr="00B71B1C" w:rsidRDefault="000C5860" w:rsidP="00D70249">
      <w:pPr>
        <w:jc w:val="both"/>
        <w:rPr>
          <w:rFonts w:cs="Times New Roman"/>
          <w:u w:val="single"/>
        </w:rPr>
      </w:pPr>
      <w:r w:rsidRPr="00B71B1C">
        <w:rPr>
          <w:rFonts w:cs="Times New Roman"/>
          <w:bCs/>
          <w:u w:val="single"/>
        </w:rPr>
        <w:t>Инструмент проверки</w:t>
      </w:r>
    </w:p>
    <w:p w:rsidR="000C5860" w:rsidRPr="00E05761" w:rsidRDefault="000C5860" w:rsidP="00D70249">
      <w:pPr>
        <w:jc w:val="both"/>
        <w:rPr>
          <w:rFonts w:cs="Times New Roman"/>
          <w:sz w:val="12"/>
          <w:szCs w:val="12"/>
        </w:rPr>
      </w:pPr>
    </w:p>
    <w:p w:rsidR="000C5860" w:rsidRPr="00D70249" w:rsidRDefault="005703DD" w:rsidP="00B71B1C">
      <w:pPr>
        <w:jc w:val="center"/>
        <w:rPr>
          <w:rFonts w:cs="Times New Roman"/>
        </w:rPr>
      </w:pPr>
      <w:r>
        <w:rPr>
          <w:rFonts w:cs="Times New Roman"/>
          <w:noProof/>
          <w:lang w:eastAsia="ru-RU" w:bidi="ar-SA"/>
        </w:rPr>
        <w:drawing>
          <wp:inline distT="0" distB="0" distL="0" distR="0">
            <wp:extent cx="5716905" cy="1749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1749425"/>
                    </a:xfrm>
                    <a:prstGeom prst="rect">
                      <a:avLst/>
                    </a:prstGeom>
                    <a:solidFill>
                      <a:srgbClr val="FFFFFF"/>
                    </a:solidFill>
                    <a:ln>
                      <a:noFill/>
                    </a:ln>
                  </pic:spPr>
                </pic:pic>
              </a:graphicData>
            </a:graphic>
          </wp:inline>
        </w:drawing>
      </w:r>
    </w:p>
    <w:p w:rsidR="000C5860" w:rsidRPr="00D70249" w:rsidRDefault="000C5860" w:rsidP="00D70249">
      <w:pPr>
        <w:jc w:val="both"/>
        <w:rPr>
          <w:rFonts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71"/>
        <w:gridCol w:w="1985"/>
      </w:tblGrid>
      <w:tr w:rsidR="000C5860" w:rsidRPr="00D70249" w:rsidTr="00B71B1C">
        <w:tc>
          <w:tcPr>
            <w:tcW w:w="7371" w:type="dxa"/>
            <w:tcBorders>
              <w:top w:val="single" w:sz="1" w:space="0" w:color="000000"/>
              <w:left w:val="single" w:sz="1" w:space="0" w:color="000000"/>
              <w:bottom w:val="single" w:sz="1" w:space="0" w:color="000000"/>
            </w:tcBorders>
            <w:shd w:val="clear" w:color="auto" w:fill="auto"/>
          </w:tcPr>
          <w:p w:rsidR="000C5860" w:rsidRPr="00D70249" w:rsidRDefault="000C5860" w:rsidP="00B71B1C">
            <w:pPr>
              <w:jc w:val="both"/>
              <w:rPr>
                <w:rFonts w:cs="Times New Roman"/>
              </w:rPr>
            </w:pPr>
            <w:r w:rsidRPr="00D70249">
              <w:rPr>
                <w:rFonts w:cs="Times New Roman"/>
              </w:rPr>
              <w:t>В качестве структуры предложена схема</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0C5860" w:rsidRPr="00D70249" w:rsidRDefault="000C5860" w:rsidP="00B71B1C">
            <w:pPr>
              <w:jc w:val="both"/>
              <w:rPr>
                <w:rFonts w:cs="Times New Roman"/>
              </w:rPr>
            </w:pPr>
            <w:r w:rsidRPr="00D70249">
              <w:rPr>
                <w:rFonts w:cs="Times New Roman"/>
              </w:rPr>
              <w:t>2 балла</w:t>
            </w:r>
          </w:p>
        </w:tc>
      </w:tr>
      <w:tr w:rsidR="000C5860" w:rsidRPr="00D70249" w:rsidTr="00B71B1C">
        <w:tc>
          <w:tcPr>
            <w:tcW w:w="7371" w:type="dxa"/>
            <w:tcBorders>
              <w:left w:val="single" w:sz="1" w:space="0" w:color="000000"/>
              <w:bottom w:val="single" w:sz="1" w:space="0" w:color="000000"/>
            </w:tcBorders>
            <w:shd w:val="clear" w:color="auto" w:fill="auto"/>
          </w:tcPr>
          <w:p w:rsidR="000C5860" w:rsidRPr="00D70249" w:rsidRDefault="000C5860" w:rsidP="00B71B1C">
            <w:pPr>
              <w:jc w:val="both"/>
              <w:rPr>
                <w:rFonts w:cs="Times New Roman"/>
              </w:rPr>
            </w:pPr>
            <w:r w:rsidRPr="00D70249">
              <w:rPr>
                <w:rFonts w:cs="Times New Roman"/>
              </w:rPr>
              <w:t>В качестве структуры предложена не схема</w:t>
            </w:r>
          </w:p>
        </w:tc>
        <w:tc>
          <w:tcPr>
            <w:tcW w:w="1985" w:type="dxa"/>
            <w:tcBorders>
              <w:left w:val="single" w:sz="1" w:space="0" w:color="000000"/>
              <w:bottom w:val="single" w:sz="1" w:space="0" w:color="000000"/>
              <w:right w:val="single" w:sz="1" w:space="0" w:color="000000"/>
            </w:tcBorders>
            <w:shd w:val="clear" w:color="auto" w:fill="auto"/>
          </w:tcPr>
          <w:p w:rsidR="000C5860" w:rsidRPr="00B71B1C" w:rsidRDefault="000C5860" w:rsidP="00B71B1C">
            <w:pPr>
              <w:jc w:val="both"/>
              <w:rPr>
                <w:rFonts w:cs="Times New Roman"/>
                <w:i/>
              </w:rPr>
            </w:pPr>
            <w:r w:rsidRPr="00B71B1C">
              <w:rPr>
                <w:rFonts w:cs="Times New Roman"/>
                <w:i/>
              </w:rPr>
              <w:t>0 баллов</w:t>
            </w:r>
          </w:p>
          <w:p w:rsidR="000C5860" w:rsidRPr="00B71B1C" w:rsidRDefault="000C5860" w:rsidP="00B71B1C">
            <w:pPr>
              <w:jc w:val="both"/>
              <w:rPr>
                <w:rFonts w:cs="Times New Roman"/>
                <w:i/>
              </w:rPr>
            </w:pPr>
            <w:r w:rsidRPr="00B71B1C">
              <w:rPr>
                <w:rFonts w:cs="Times New Roman"/>
                <w:i/>
              </w:rPr>
              <w:t xml:space="preserve">проверка </w:t>
            </w:r>
            <w:r w:rsidR="00B71B1C">
              <w:rPr>
                <w:rFonts w:cs="Times New Roman"/>
                <w:i/>
              </w:rPr>
              <w:t>завершена</w:t>
            </w:r>
          </w:p>
        </w:tc>
      </w:tr>
      <w:tr w:rsidR="000C5860" w:rsidRPr="00D70249" w:rsidTr="00B71B1C">
        <w:tc>
          <w:tcPr>
            <w:tcW w:w="7371" w:type="dxa"/>
            <w:tcBorders>
              <w:left w:val="single" w:sz="1" w:space="0" w:color="000000"/>
              <w:bottom w:val="single" w:sz="1" w:space="0" w:color="000000"/>
            </w:tcBorders>
            <w:shd w:val="clear" w:color="auto" w:fill="auto"/>
          </w:tcPr>
          <w:p w:rsidR="000C5860" w:rsidRPr="00D70249" w:rsidRDefault="000C5860" w:rsidP="00B71B1C">
            <w:pPr>
              <w:jc w:val="both"/>
              <w:rPr>
                <w:rFonts w:cs="Times New Roman"/>
              </w:rPr>
            </w:pPr>
            <w:r w:rsidRPr="00D70249">
              <w:rPr>
                <w:rFonts w:cs="Times New Roman"/>
              </w:rPr>
              <w:t>За каждую верно заполненную и расположенную ячейку схемы*</w:t>
            </w:r>
          </w:p>
        </w:tc>
        <w:tc>
          <w:tcPr>
            <w:tcW w:w="1985" w:type="dxa"/>
            <w:tcBorders>
              <w:left w:val="single" w:sz="1" w:space="0" w:color="000000"/>
              <w:bottom w:val="single" w:sz="1" w:space="0" w:color="000000"/>
              <w:right w:val="single" w:sz="1" w:space="0" w:color="000000"/>
            </w:tcBorders>
            <w:shd w:val="clear" w:color="auto" w:fill="auto"/>
          </w:tcPr>
          <w:p w:rsidR="000C5860" w:rsidRPr="00D70249" w:rsidRDefault="000C5860" w:rsidP="00B71B1C">
            <w:pPr>
              <w:jc w:val="both"/>
              <w:rPr>
                <w:rFonts w:cs="Times New Roman"/>
              </w:rPr>
            </w:pPr>
            <w:r w:rsidRPr="00D70249">
              <w:rPr>
                <w:rFonts w:cs="Times New Roman"/>
              </w:rPr>
              <w:t>1 балл</w:t>
            </w:r>
          </w:p>
        </w:tc>
      </w:tr>
      <w:tr w:rsidR="000C5860" w:rsidRPr="00B71B1C" w:rsidTr="00B71B1C">
        <w:tc>
          <w:tcPr>
            <w:tcW w:w="7371" w:type="dxa"/>
            <w:tcBorders>
              <w:left w:val="single" w:sz="1" w:space="0" w:color="000000"/>
              <w:bottom w:val="single" w:sz="1" w:space="0" w:color="000000"/>
            </w:tcBorders>
            <w:shd w:val="clear" w:color="auto" w:fill="auto"/>
          </w:tcPr>
          <w:p w:rsidR="000C5860" w:rsidRPr="00B71B1C" w:rsidRDefault="000C5860" w:rsidP="00B71B1C">
            <w:pPr>
              <w:ind w:firstLine="796"/>
              <w:jc w:val="both"/>
              <w:rPr>
                <w:rFonts w:cs="Times New Roman"/>
                <w:i/>
              </w:rPr>
            </w:pPr>
            <w:r w:rsidRPr="00B71B1C">
              <w:rPr>
                <w:rFonts w:cs="Times New Roman"/>
                <w:i/>
              </w:rPr>
              <w:t>Максимально</w:t>
            </w:r>
          </w:p>
        </w:tc>
        <w:tc>
          <w:tcPr>
            <w:tcW w:w="1985" w:type="dxa"/>
            <w:tcBorders>
              <w:left w:val="single" w:sz="1" w:space="0" w:color="000000"/>
              <w:bottom w:val="single" w:sz="1" w:space="0" w:color="000000"/>
              <w:right w:val="single" w:sz="1" w:space="0" w:color="000000"/>
            </w:tcBorders>
            <w:shd w:val="clear" w:color="auto" w:fill="auto"/>
          </w:tcPr>
          <w:p w:rsidR="000C5860" w:rsidRPr="00B71B1C" w:rsidRDefault="000C5860" w:rsidP="00B71B1C">
            <w:pPr>
              <w:ind w:left="371"/>
              <w:jc w:val="both"/>
              <w:rPr>
                <w:rFonts w:cs="Times New Roman"/>
                <w:i/>
              </w:rPr>
            </w:pPr>
            <w:r w:rsidRPr="00B71B1C">
              <w:rPr>
                <w:rFonts w:cs="Times New Roman"/>
                <w:i/>
              </w:rPr>
              <w:t>7 баллов</w:t>
            </w:r>
          </w:p>
        </w:tc>
      </w:tr>
      <w:tr w:rsidR="000C5860" w:rsidRPr="00B71B1C" w:rsidTr="00B71B1C">
        <w:tc>
          <w:tcPr>
            <w:tcW w:w="7371" w:type="dxa"/>
            <w:tcBorders>
              <w:left w:val="single" w:sz="1" w:space="0" w:color="000000"/>
              <w:bottom w:val="single" w:sz="1" w:space="0" w:color="000000"/>
            </w:tcBorders>
            <w:shd w:val="clear" w:color="auto" w:fill="auto"/>
          </w:tcPr>
          <w:p w:rsidR="000C5860" w:rsidRPr="00B71B1C" w:rsidRDefault="000C5860" w:rsidP="00B71B1C">
            <w:pPr>
              <w:jc w:val="both"/>
              <w:rPr>
                <w:rFonts w:cs="Times New Roman"/>
                <w:b/>
                <w:i/>
              </w:rPr>
            </w:pPr>
            <w:r w:rsidRPr="00B71B1C">
              <w:rPr>
                <w:rFonts w:cs="Times New Roman"/>
                <w:b/>
                <w:i/>
              </w:rPr>
              <w:t>Максимальный балл</w:t>
            </w:r>
          </w:p>
        </w:tc>
        <w:tc>
          <w:tcPr>
            <w:tcW w:w="1985" w:type="dxa"/>
            <w:tcBorders>
              <w:left w:val="single" w:sz="1" w:space="0" w:color="000000"/>
              <w:bottom w:val="single" w:sz="1" w:space="0" w:color="000000"/>
              <w:right w:val="single" w:sz="1" w:space="0" w:color="000000"/>
            </w:tcBorders>
            <w:shd w:val="clear" w:color="auto" w:fill="auto"/>
          </w:tcPr>
          <w:p w:rsidR="000C5860" w:rsidRPr="00B71B1C" w:rsidRDefault="000C5860" w:rsidP="00B71B1C">
            <w:pPr>
              <w:jc w:val="both"/>
              <w:rPr>
                <w:rFonts w:cs="Times New Roman"/>
                <w:b/>
                <w:i/>
              </w:rPr>
            </w:pPr>
            <w:r w:rsidRPr="00B71B1C">
              <w:rPr>
                <w:rFonts w:cs="Times New Roman"/>
                <w:b/>
                <w:i/>
              </w:rPr>
              <w:t>8 баллов</w:t>
            </w:r>
          </w:p>
        </w:tc>
      </w:tr>
    </w:tbl>
    <w:p w:rsidR="000C5860" w:rsidRPr="00D70249" w:rsidRDefault="000C5860" w:rsidP="00D70249">
      <w:pPr>
        <w:jc w:val="both"/>
        <w:rPr>
          <w:rFonts w:cs="Times New Roman"/>
        </w:rPr>
      </w:pPr>
      <w:r w:rsidRPr="00D70249">
        <w:rPr>
          <w:rFonts w:cs="Times New Roman"/>
        </w:rPr>
        <w:t>* правая и левая части каждого уровня схемы могут быть поменяны местами</w:t>
      </w:r>
    </w:p>
    <w:sectPr w:rsidR="000C5860" w:rsidRPr="00D70249">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E514DF2"/>
    <w:multiLevelType w:val="hybridMultilevel"/>
    <w:tmpl w:val="E6563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20"/>
    <w:rsid w:val="00094520"/>
    <w:rsid w:val="000C5860"/>
    <w:rsid w:val="005703DD"/>
    <w:rsid w:val="00AB5F89"/>
    <w:rsid w:val="00B71B1C"/>
    <w:rsid w:val="00D70249"/>
    <w:rsid w:val="00E05761"/>
    <w:rsid w:val="00FA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5">
    <w:name w:val="Hyperlink"/>
    <w:rPr>
      <w:color w:val="000080"/>
      <w:u w:val="single"/>
    </w:rPr>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character" w:customStyle="1" w:styleId="20">
    <w:name w:val="Основной шрифт абзаца2"/>
  </w:style>
  <w:style w:type="character" w:customStyle="1" w:styleId="FontStyle94">
    <w:name w:val="Font Style94"/>
    <w:rPr>
      <w:rFonts w:ascii="Arial" w:hAnsi="Arial" w:cs="Arial"/>
      <w:sz w:val="18"/>
      <w:szCs w:val="18"/>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9">
    <w:name w:val="List"/>
    <w:basedOn w:val="a1"/>
  </w:style>
  <w:style w:type="paragraph" w:customStyle="1" w:styleId="21">
    <w:name w:val="Название2"/>
    <w:basedOn w:val="a"/>
    <w:pPr>
      <w:suppressLineNumbers/>
      <w:spacing w:before="120" w:after="120"/>
    </w:pPr>
    <w:rPr>
      <w:i/>
      <w:iCs/>
    </w:rPr>
  </w:style>
  <w:style w:type="paragraph" w:customStyle="1" w:styleId="22">
    <w:name w:val="Указатель2"/>
    <w:basedOn w:val="a"/>
    <w:pPr>
      <w:suppressLineNumbers/>
    </w:pPr>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Цитата1"/>
    <w:basedOn w:val="a"/>
    <w:pPr>
      <w:spacing w:after="283"/>
      <w:ind w:left="567" w:right="56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uiPriority w:val="99"/>
    <w:semiHidden/>
    <w:unhideWhenUsed/>
    <w:rsid w:val="00AB5F89"/>
    <w:rPr>
      <w:rFonts w:ascii="Tahoma" w:hAnsi="Tahoma" w:cs="Mangal"/>
      <w:sz w:val="16"/>
      <w:szCs w:val="14"/>
    </w:rPr>
  </w:style>
  <w:style w:type="character" w:customStyle="1" w:styleId="ad">
    <w:name w:val="Текст выноски Знак"/>
    <w:basedOn w:val="a2"/>
    <w:link w:val="ac"/>
    <w:uiPriority w:val="99"/>
    <w:semiHidden/>
    <w:rsid w:val="00AB5F89"/>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5">
    <w:name w:val="Hyperlink"/>
    <w:rPr>
      <w:color w:val="000080"/>
      <w:u w:val="single"/>
    </w:rPr>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character" w:customStyle="1" w:styleId="20">
    <w:name w:val="Основной шрифт абзаца2"/>
  </w:style>
  <w:style w:type="character" w:customStyle="1" w:styleId="FontStyle94">
    <w:name w:val="Font Style94"/>
    <w:rPr>
      <w:rFonts w:ascii="Arial" w:hAnsi="Arial" w:cs="Arial"/>
      <w:sz w:val="18"/>
      <w:szCs w:val="18"/>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9">
    <w:name w:val="List"/>
    <w:basedOn w:val="a1"/>
  </w:style>
  <w:style w:type="paragraph" w:customStyle="1" w:styleId="21">
    <w:name w:val="Название2"/>
    <w:basedOn w:val="a"/>
    <w:pPr>
      <w:suppressLineNumbers/>
      <w:spacing w:before="120" w:after="120"/>
    </w:pPr>
    <w:rPr>
      <w:i/>
      <w:iCs/>
    </w:rPr>
  </w:style>
  <w:style w:type="paragraph" w:customStyle="1" w:styleId="22">
    <w:name w:val="Указатель2"/>
    <w:basedOn w:val="a"/>
    <w:pPr>
      <w:suppressLineNumbers/>
    </w:pPr>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Цитата1"/>
    <w:basedOn w:val="a"/>
    <w:pPr>
      <w:spacing w:after="283"/>
      <w:ind w:left="567" w:right="56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uiPriority w:val="99"/>
    <w:semiHidden/>
    <w:unhideWhenUsed/>
    <w:rsid w:val="00AB5F89"/>
    <w:rPr>
      <w:rFonts w:ascii="Tahoma" w:hAnsi="Tahoma" w:cs="Mangal"/>
      <w:sz w:val="16"/>
      <w:szCs w:val="14"/>
    </w:rPr>
  </w:style>
  <w:style w:type="character" w:customStyle="1" w:styleId="ad">
    <w:name w:val="Текст выноски Знак"/>
    <w:basedOn w:val="a2"/>
    <w:link w:val="ac"/>
    <w:uiPriority w:val="99"/>
    <w:semiHidden/>
    <w:rsid w:val="00AB5F8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Лена</cp:lastModifiedBy>
  <cp:revision>3</cp:revision>
  <cp:lastPrinted>1900-12-31T20:00:00Z</cp:lastPrinted>
  <dcterms:created xsi:type="dcterms:W3CDTF">2019-03-14T11:32:00Z</dcterms:created>
  <dcterms:modified xsi:type="dcterms:W3CDTF">2019-03-15T11:28:00Z</dcterms:modified>
</cp:coreProperties>
</file>